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BE7C32"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Name:</w:t>
      </w:r>
    </w:p>
    <w:p w14:paraId="23AF4E47"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14:paraId="175AB18B"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Course:</w:t>
      </w:r>
    </w:p>
    <w:p w14:paraId="0D59DA5F"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Date:</w:t>
      </w:r>
    </w:p>
    <w:p w14:paraId="4B1B1CD1" w14:textId="77777777" w:rsidR="002732D7" w:rsidRDefault="00CF10E6">
      <w:pPr>
        <w:spacing w:line="480" w:lineRule="auto"/>
        <w:jc w:val="center"/>
        <w:rPr>
          <w:rFonts w:ascii="Times New Roman" w:hAnsi="Times New Roman" w:cs="Times New Roman"/>
          <w:sz w:val="24"/>
          <w:szCs w:val="24"/>
        </w:rPr>
      </w:pPr>
      <w:r>
        <w:rPr>
          <w:rFonts w:ascii="Times New Roman" w:hAnsi="Times New Roman" w:cs="Times New Roman"/>
          <w:sz w:val="24"/>
          <w:szCs w:val="24"/>
        </w:rPr>
        <w:t>Covid-19 Analysis in Ireland</w:t>
      </w:r>
    </w:p>
    <w:p w14:paraId="6A2D6181" w14:textId="77777777" w:rsidR="002732D7" w:rsidRDefault="00CF10E6">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Introduction </w:t>
      </w:r>
    </w:p>
    <w:p w14:paraId="6A027B0F"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COVID-19</w:t>
      </w:r>
      <w:r>
        <w:rPr>
          <w:rFonts w:ascii="Times New Roman" w:hAnsi="Times New Roman" w:cs="Times New Roman"/>
          <w:sz w:val="24"/>
          <w:szCs w:val="24"/>
        </w:rPr>
        <w:t xml:space="preserve"> has been one of the most challenging healthcare issues affecting the world. The problem has affected the economy, political, social, cultural, and other aspects of life. Different researchers across the world have spend months working on finding the best </w:t>
      </w:r>
      <w:r>
        <w:rPr>
          <w:rFonts w:ascii="Times New Roman" w:hAnsi="Times New Roman" w:cs="Times New Roman"/>
          <w:sz w:val="24"/>
          <w:szCs w:val="24"/>
        </w:rPr>
        <w:t>treatment for the disease. However, the disease continues to affect millions of people across the world, making it a hard battle to win. In the case of Ireland, there has been over 140,000 confirmed COVD-19 case with approximately 2300 deaths. These values</w:t>
      </w:r>
      <w:r>
        <w:rPr>
          <w:rFonts w:ascii="Times New Roman" w:hAnsi="Times New Roman" w:cs="Times New Roman"/>
          <w:sz w:val="24"/>
          <w:szCs w:val="24"/>
        </w:rPr>
        <w:t xml:space="preserve"> are an indication that the country faces a major healthcare threat, which should be addressed by implementing viable and effective strategies to combat the same. This paper aims at developing an analytical report discussing the trends of COVD-19 infection</w:t>
      </w:r>
      <w:r>
        <w:rPr>
          <w:rFonts w:ascii="Times New Roman" w:hAnsi="Times New Roman" w:cs="Times New Roman"/>
          <w:sz w:val="24"/>
          <w:szCs w:val="24"/>
        </w:rPr>
        <w:t xml:space="preserve">s in the country. </w:t>
      </w:r>
    </w:p>
    <w:p w14:paraId="7C37EF8C" w14:textId="77777777" w:rsidR="002732D7" w:rsidRDefault="00CF10E6">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Descriptive and Statistical Summaries </w:t>
      </w:r>
    </w:p>
    <w:p w14:paraId="08EDCCCB" w14:textId="2FAC24BF" w:rsidR="002732D7" w:rsidRDefault="00256E65">
      <w:pPr>
        <w:spacing w:line="480" w:lineRule="auto"/>
        <w:rPr>
          <w:rFonts w:ascii="Times New Roman" w:hAnsi="Times New Roman" w:cs="Times New Roman"/>
          <w:sz w:val="24"/>
          <w:szCs w:val="24"/>
        </w:rPr>
      </w:pPr>
      <w:r>
        <w:rPr>
          <w:rFonts w:ascii="Times New Roman" w:hAnsi="Times New Roman" w:cs="Times New Roman"/>
          <w:sz w:val="24"/>
          <w:szCs w:val="24"/>
        </w:rPr>
        <w:t>Descriptive and statistical summaries are used to the features of data in a study. They provide a summary of the sample and measures used for data analysis.</w:t>
      </w:r>
      <w:r w:rsidR="00904CC6">
        <w:rPr>
          <w:rFonts w:ascii="Times New Roman" w:hAnsi="Times New Roman" w:cs="Times New Roman"/>
          <w:sz w:val="24"/>
          <w:szCs w:val="24"/>
        </w:rPr>
        <w:t xml:space="preserve"> </w:t>
      </w:r>
      <w:r w:rsidR="00CF10E6">
        <w:rPr>
          <w:rFonts w:ascii="Times New Roman" w:hAnsi="Times New Roman" w:cs="Times New Roman"/>
          <w:sz w:val="24"/>
          <w:szCs w:val="24"/>
        </w:rPr>
        <w:t>During the first and second phases, the number of coronavirus cases in the country has been increasing significantly. Currently, the number of COVD-19 cases in the country translates to over 2000 pe</w:t>
      </w:r>
      <w:r w:rsidR="00CF10E6">
        <w:rPr>
          <w:rFonts w:ascii="Times New Roman" w:hAnsi="Times New Roman" w:cs="Times New Roman"/>
          <w:sz w:val="24"/>
          <w:szCs w:val="24"/>
        </w:rPr>
        <w:t xml:space="preserve">ople per 100,000. The area with the highest cases is </w:t>
      </w:r>
      <w:r w:rsidR="00CF10E6">
        <w:rPr>
          <w:rFonts w:ascii="Times New Roman" w:hAnsi="Times New Roman" w:cs="Times New Roman"/>
          <w:sz w:val="24"/>
          <w:szCs w:val="24"/>
        </w:rPr>
        <w:t>Dublin</w:t>
      </w:r>
      <w:r w:rsidR="00CF10E6">
        <w:rPr>
          <w:rFonts w:ascii="Times New Roman" w:hAnsi="Times New Roman" w:cs="Times New Roman"/>
          <w:sz w:val="24"/>
          <w:szCs w:val="24"/>
        </w:rPr>
        <w:t xml:space="preserve">, with approximately </w:t>
      </w:r>
      <w:r w:rsidR="00CF10E6">
        <w:rPr>
          <w:rFonts w:hAnsi="Times New Roman" w:cs="Times New Roman"/>
          <w:sz w:val="24"/>
          <w:szCs w:val="24"/>
        </w:rPr>
        <w:t>483</w:t>
      </w:r>
      <w:r w:rsidR="00CF10E6">
        <w:rPr>
          <w:rFonts w:ascii="Times New Roman" w:hAnsi="Times New Roman" w:cs="Times New Roman"/>
          <w:sz w:val="24"/>
          <w:szCs w:val="24"/>
        </w:rPr>
        <w:t>66</w:t>
      </w:r>
      <w:r w:rsidR="00CF10E6">
        <w:rPr>
          <w:rFonts w:ascii="Times New Roman" w:hAnsi="Times New Roman" w:cs="Times New Roman"/>
          <w:sz w:val="24"/>
          <w:szCs w:val="24"/>
        </w:rPr>
        <w:t xml:space="preserve"> </w:t>
      </w:r>
      <w:r w:rsidR="00CF10E6">
        <w:rPr>
          <w:rFonts w:ascii="Times New Roman" w:hAnsi="Times New Roman" w:cs="Times New Roman"/>
          <w:sz w:val="24"/>
          <w:szCs w:val="24"/>
        </w:rPr>
        <w:t xml:space="preserve">cases, which was 55. 5% of the total </w:t>
      </w:r>
      <w:r w:rsidR="00CF10E6">
        <w:rPr>
          <w:rFonts w:ascii="Times New Roman" w:hAnsi="Times New Roman" w:cs="Times New Roman"/>
          <w:sz w:val="24"/>
          <w:szCs w:val="24"/>
        </w:rPr>
        <w:lastRenderedPageBreak/>
        <w:t>cases</w:t>
      </w:r>
      <w:r w:rsidR="00CF10E6">
        <w:rPr>
          <w:rFonts w:ascii="Times New Roman" w:hAnsi="Times New Roman" w:cs="Times New Roman"/>
          <w:sz w:val="24"/>
          <w:szCs w:val="24"/>
        </w:rPr>
        <w:t>. The three measures of centrality that were used to come up with the number of daily cases where average, mode, and median. Acc</w:t>
      </w:r>
      <w:r w:rsidR="00CF10E6">
        <w:rPr>
          <w:rFonts w:ascii="Times New Roman" w:hAnsi="Times New Roman" w:cs="Times New Roman"/>
          <w:sz w:val="24"/>
          <w:szCs w:val="24"/>
        </w:rPr>
        <w:t>ording to Marsden, centrality measures play a crucial role in the provision of information about the distribution of data.</w:t>
      </w:r>
    </w:p>
    <w:p w14:paraId="25D62FD6"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 xml:space="preserve">The measures </w:t>
      </w:r>
      <w:r>
        <w:rPr>
          <w:rFonts w:hAnsi="Times New Roman" w:cs="Times New Roman"/>
          <w:sz w:val="24"/>
          <w:szCs w:val="24"/>
        </w:rPr>
        <w:t>of</w:t>
      </w:r>
      <w:r>
        <w:rPr>
          <w:rFonts w:ascii="Times New Roman" w:hAnsi="Times New Roman" w:cs="Times New Roman"/>
          <w:sz w:val="24"/>
          <w:szCs w:val="24"/>
        </w:rPr>
        <w:t xml:space="preserve"> mean and median have changed significantly between phases 1 and 2. During the peak of phase 1 in 20</w:t>
      </w:r>
      <w:r>
        <w:rPr>
          <w:rFonts w:ascii="Times New Roman" w:hAnsi="Times New Roman" w:cs="Times New Roman"/>
          <w:sz w:val="24"/>
          <w:szCs w:val="24"/>
          <w:vertAlign w:val="superscript"/>
        </w:rPr>
        <w:t>th</w:t>
      </w:r>
      <w:r>
        <w:rPr>
          <w:rFonts w:ascii="Times New Roman" w:hAnsi="Times New Roman" w:cs="Times New Roman"/>
          <w:sz w:val="24"/>
          <w:szCs w:val="24"/>
        </w:rPr>
        <w:t xml:space="preserve"> April, the tota</w:t>
      </w:r>
      <w:r>
        <w:rPr>
          <w:rFonts w:ascii="Times New Roman" w:hAnsi="Times New Roman" w:cs="Times New Roman"/>
          <w:sz w:val="24"/>
          <w:szCs w:val="24"/>
        </w:rPr>
        <w:t>l cases were 15, 185, with a 4.2%</w:t>
      </w:r>
      <w:r>
        <w:rPr>
          <w:rFonts w:ascii="Times New Roman" w:hAnsi="Times New Roman" w:cs="Times New Roman"/>
          <w:sz w:val="24"/>
          <w:szCs w:val="24"/>
        </w:rPr>
        <w:t xml:space="preserve"> case</w:t>
      </w:r>
      <w:r>
        <w:rPr>
          <w:rFonts w:ascii="Times New Roman" w:hAnsi="Times New Roman" w:cs="Times New Roman"/>
          <w:sz w:val="24"/>
          <w:szCs w:val="24"/>
        </w:rPr>
        <w:t xml:space="preserve"> fatality </w:t>
      </w:r>
      <w:r>
        <w:rPr>
          <w:rFonts w:ascii="Times New Roman" w:hAnsi="Times New Roman" w:cs="Times New Roman"/>
          <w:sz w:val="24"/>
          <w:szCs w:val="24"/>
        </w:rPr>
        <w:t>rate (CFR)</w:t>
      </w:r>
      <w:r>
        <w:rPr>
          <w:rFonts w:ascii="Times New Roman" w:hAnsi="Times New Roman" w:cs="Times New Roman"/>
          <w:sz w:val="24"/>
          <w:szCs w:val="24"/>
        </w:rPr>
        <w:t>. Those that were infected on the country were 10613, which was 69.9% of the total cases. In 21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July, the total number of infections were 25,766 with a case </w:t>
      </w:r>
      <w:r>
        <w:rPr>
          <w:rFonts w:ascii="Times New Roman" w:hAnsi="Times New Roman" w:cs="Times New Roman"/>
          <w:sz w:val="24"/>
          <w:szCs w:val="24"/>
        </w:rPr>
        <w:t>fatality ratio</w:t>
      </w:r>
      <w:r>
        <w:rPr>
          <w:rFonts w:ascii="Times New Roman" w:hAnsi="Times New Roman" w:cs="Times New Roman"/>
          <w:sz w:val="24"/>
          <w:szCs w:val="24"/>
        </w:rPr>
        <w:t xml:space="preserve"> of 5.8%. In the peak of </w:t>
      </w:r>
      <w:r>
        <w:rPr>
          <w:rFonts w:ascii="Times New Roman" w:hAnsi="Times New Roman" w:cs="Times New Roman"/>
          <w:sz w:val="24"/>
          <w:szCs w:val="24"/>
        </w:rPr>
        <w:t xml:space="preserve">phase 2, there were 49962 confirmed cases with a case fatality ratio of 3.19%. </w:t>
      </w:r>
    </w:p>
    <w:p w14:paraId="24F5DF0A"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From the information gathered, it can be argued that there was a significant increase in the number of infected people and those who died. Between the start of the 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phase an</w:t>
      </w:r>
      <w:r>
        <w:rPr>
          <w:rFonts w:ascii="Times New Roman" w:hAnsi="Times New Roman" w:cs="Times New Roman"/>
          <w:sz w:val="24"/>
          <w:szCs w:val="24"/>
        </w:rPr>
        <w:t xml:space="preserve">d the beginning of phase 2, there was an increase in </w:t>
      </w:r>
      <w:r>
        <w:rPr>
          <w:rFonts w:ascii="Times New Roman" w:hAnsi="Times New Roman" w:cs="Times New Roman"/>
          <w:sz w:val="24"/>
          <w:szCs w:val="24"/>
        </w:rPr>
        <w:t>the case</w:t>
      </w:r>
      <w:r>
        <w:rPr>
          <w:rFonts w:ascii="Times New Roman" w:hAnsi="Times New Roman" w:cs="Times New Roman"/>
          <w:sz w:val="24"/>
          <w:szCs w:val="24"/>
        </w:rPr>
        <w:t xml:space="preserve"> fatality ra</w:t>
      </w:r>
      <w:r>
        <w:rPr>
          <w:rFonts w:ascii="Times New Roman" w:hAnsi="Times New Roman" w:cs="Times New Roman"/>
          <w:sz w:val="24"/>
          <w:szCs w:val="24"/>
        </w:rPr>
        <w:t>tio</w:t>
      </w:r>
      <w:r>
        <w:rPr>
          <w:rFonts w:ascii="Times New Roman" w:hAnsi="Times New Roman" w:cs="Times New Roman"/>
          <w:sz w:val="24"/>
          <w:szCs w:val="24"/>
        </w:rPr>
        <w:t>; from 4.2% to 5.8%. From the start of phase 2 to the peak of phase 2, there was a significant decrease in the fatality rate, from 5.8% to 3.19%. The decrease of fatality rate is a</w:t>
      </w:r>
      <w:r>
        <w:rPr>
          <w:rFonts w:ascii="Times New Roman" w:hAnsi="Times New Roman" w:cs="Times New Roman"/>
          <w:sz w:val="24"/>
          <w:szCs w:val="24"/>
        </w:rPr>
        <w:t xml:space="preserve">n indication that a vaccine to fight the virus will be available for use as soon as possible. </w:t>
      </w:r>
    </w:p>
    <w:p w14:paraId="077A4240" w14:textId="77777777" w:rsidR="002732D7" w:rsidRDefault="00CF10E6">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Measures of Variation </w:t>
      </w:r>
    </w:p>
    <w:p w14:paraId="784C4CE4"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 xml:space="preserve">The creation of averages of different data sets is essential because it helps in data analysis and the creation of the perfect average. A </w:t>
      </w:r>
      <w:r>
        <w:rPr>
          <w:rFonts w:ascii="Times New Roman" w:hAnsi="Times New Roman" w:cs="Times New Roman"/>
          <w:sz w:val="24"/>
          <w:szCs w:val="24"/>
        </w:rPr>
        <w:t xml:space="preserve">5-day moving average focuses on the combination of the five recent averages, which are connected to each other to form a singular flow (Hansun). The 5-day moving average indicates that the number of COVD-19 cases has been rising significantly. In </w:t>
      </w:r>
      <w:r>
        <w:rPr>
          <w:rFonts w:ascii="Times New Roman" w:hAnsi="Times New Roman" w:cs="Times New Roman"/>
          <w:sz w:val="24"/>
          <w:szCs w:val="24"/>
        </w:rPr>
        <w:t>7th Octob</w:t>
      </w:r>
      <w:r>
        <w:rPr>
          <w:rFonts w:ascii="Times New Roman" w:hAnsi="Times New Roman" w:cs="Times New Roman"/>
          <w:sz w:val="24"/>
          <w:szCs w:val="24"/>
        </w:rPr>
        <w:t>er, the number of confirmed cases was approximately 500, which increased to 600 on 8th. There was a significant jump from 600 to 1000 on 9th of October, which was followed by a decrease to 800 on 10th, 810 on 111th and 800 on 12th. The number of cases cont</w:t>
      </w:r>
      <w:r>
        <w:rPr>
          <w:rFonts w:ascii="Times New Roman" w:hAnsi="Times New Roman" w:cs="Times New Roman"/>
          <w:sz w:val="24"/>
          <w:szCs w:val="24"/>
        </w:rPr>
        <w:t xml:space="preserve">inued to rise </w:t>
      </w:r>
      <w:r>
        <w:rPr>
          <w:rFonts w:ascii="Times New Roman" w:hAnsi="Times New Roman" w:cs="Times New Roman"/>
          <w:sz w:val="24"/>
          <w:szCs w:val="24"/>
        </w:rPr>
        <w:lastRenderedPageBreak/>
        <w:t>the following day to 1000 on 13 and 1100 on the 14th. On the 15th, there was a decrease to 900 cases and approximately 1200 cases on 16th and 17th. The five day moving average between these days was 1204.2 cases. The cumulative total was at a</w:t>
      </w:r>
      <w:r>
        <w:rPr>
          <w:rFonts w:ascii="Times New Roman" w:hAnsi="Times New Roman" w:cs="Times New Roman"/>
          <w:sz w:val="24"/>
          <w:szCs w:val="24"/>
        </w:rPr>
        <w:t>bout 13</w:t>
      </w:r>
      <w:r>
        <w:rPr>
          <w:rFonts w:hAnsi="Times New Roman" w:cs="Times New Roman"/>
          <w:sz w:val="24"/>
          <w:szCs w:val="24"/>
        </w:rPr>
        <w:t>858</w:t>
      </w:r>
      <w:r>
        <w:rPr>
          <w:rFonts w:ascii="Times New Roman" w:hAnsi="Times New Roman" w:cs="Times New Roman"/>
          <w:sz w:val="24"/>
          <w:szCs w:val="24"/>
        </w:rPr>
        <w:t xml:space="preserve"> cases. These findings are shown in </w:t>
      </w:r>
      <w:r>
        <w:rPr>
          <w:rFonts w:hAnsi="Times New Roman" w:cs="Times New Roman"/>
          <w:sz w:val="24"/>
          <w:szCs w:val="24"/>
        </w:rPr>
        <w:t>figure</w:t>
      </w:r>
      <w:r>
        <w:rPr>
          <w:rFonts w:ascii="Times New Roman" w:hAnsi="Times New Roman" w:cs="Times New Roman"/>
          <w:sz w:val="24"/>
          <w:szCs w:val="24"/>
        </w:rPr>
        <w:t xml:space="preserve"> 1 below. </w:t>
      </w:r>
    </w:p>
    <w:p w14:paraId="222EB726" w14:textId="0B514CAD" w:rsidR="002732D7" w:rsidRDefault="0086258D">
      <w:pPr>
        <w:spacing w:line="480" w:lineRule="auto"/>
      </w:pPr>
      <w:r>
        <w:rPr>
          <w:noProof/>
        </w:rPr>
        <w:drawing>
          <wp:inline distT="0" distB="0" distL="0" distR="0" wp14:anchorId="07DA89D0" wp14:editId="65E5B21F">
            <wp:extent cx="4838700" cy="27146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838700" cy="2714625"/>
                    </a:xfrm>
                    <a:prstGeom prst="rect">
                      <a:avLst/>
                    </a:prstGeom>
                  </pic:spPr>
                </pic:pic>
              </a:graphicData>
            </a:graphic>
          </wp:inline>
        </w:drawing>
      </w:r>
    </w:p>
    <w:p w14:paraId="7534EB11" w14:textId="77777777" w:rsidR="002732D7" w:rsidRDefault="00CF10E6">
      <w:pPr>
        <w:spacing w:line="480" w:lineRule="auto"/>
        <w:rPr>
          <w:rFonts w:hAnsi="Times New Roman" w:cs="Times New Roman"/>
          <w:sz w:val="24"/>
          <w:szCs w:val="24"/>
        </w:rPr>
      </w:pPr>
      <w:r>
        <w:rPr>
          <w:rFonts w:hAnsi="Times New Roman" w:cs="Times New Roman"/>
          <w:sz w:val="24"/>
          <w:szCs w:val="24"/>
        </w:rPr>
        <w:t xml:space="preserve">Figure 1: daily number of cumulative cases and a 5-day moving average </w:t>
      </w:r>
    </w:p>
    <w:p w14:paraId="0A2AE935" w14:textId="77777777" w:rsidR="002732D7" w:rsidRDefault="00CF10E6">
      <w:pPr>
        <w:spacing w:line="480" w:lineRule="auto"/>
        <w:rPr>
          <w:rFonts w:ascii="Times New Roman" w:hAnsi="Times New Roman" w:cs="Times New Roman"/>
          <w:sz w:val="24"/>
          <w:szCs w:val="24"/>
        </w:rPr>
      </w:pPr>
      <w:r>
        <w:rPr>
          <w:rFonts w:hAnsi="Times New Roman" w:cs="Times New Roman"/>
          <w:sz w:val="24"/>
          <w:szCs w:val="24"/>
        </w:rPr>
        <w:t>Figure 1 shows that the number of cases in the country increased exponentially between 7th October and 20th the same month. The 5-day moving average also indicated an increase between the days. This increase provides a clear insight on how the cases have b</w:t>
      </w:r>
      <w:r>
        <w:rPr>
          <w:rFonts w:hAnsi="Times New Roman" w:cs="Times New Roman"/>
          <w:sz w:val="24"/>
          <w:szCs w:val="24"/>
        </w:rPr>
        <w:t xml:space="preserve">een increasing in the country. This information is necessary when it comes to the development of effective health care strategies to combat the spread of the virus. </w:t>
      </w:r>
    </w:p>
    <w:p w14:paraId="2B415DD0" w14:textId="77777777" w:rsidR="002732D7" w:rsidRDefault="00CF10E6">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Probability Distribution </w:t>
      </w:r>
    </w:p>
    <w:p w14:paraId="05B8B9F3" w14:textId="77777777" w:rsidR="002732D7" w:rsidRDefault="00CF10E6">
      <w:pPr>
        <w:spacing w:line="480" w:lineRule="auto"/>
        <w:rPr>
          <w:rFonts w:hAnsi="Times New Roman" w:cs="Times New Roman"/>
          <w:sz w:val="24"/>
          <w:szCs w:val="24"/>
        </w:rPr>
      </w:pPr>
      <w:r>
        <w:rPr>
          <w:rFonts w:hAnsi="Times New Roman" w:cs="Times New Roman"/>
          <w:sz w:val="24"/>
          <w:szCs w:val="24"/>
        </w:rPr>
        <w:t>Probability distribution functions plays an essential role in de</w:t>
      </w:r>
      <w:r>
        <w:rPr>
          <w:rFonts w:hAnsi="Times New Roman" w:cs="Times New Roman"/>
          <w:sz w:val="24"/>
          <w:szCs w:val="24"/>
        </w:rPr>
        <w:t xml:space="preserve">termination of all possible values that and the probability that a random variable can take within a certain range of values. The </w:t>
      </w:r>
      <w:r>
        <w:rPr>
          <w:rFonts w:hAnsi="Times New Roman" w:cs="Times New Roman"/>
          <w:sz w:val="24"/>
          <w:szCs w:val="24"/>
        </w:rPr>
        <w:lastRenderedPageBreak/>
        <w:t xml:space="preserve">provided range is between the minimum and the maximum values. The possible value is a case is, however, determined by several </w:t>
      </w:r>
      <w:r>
        <w:rPr>
          <w:rFonts w:hAnsi="Times New Roman" w:cs="Times New Roman"/>
          <w:sz w:val="24"/>
          <w:szCs w:val="24"/>
        </w:rPr>
        <w:t>factors, including skewness, kurtosis, mean, and standard deviation (National Institute of Science and Technology). The most commonly used distribution is the bell curve or normal distribution, whereby the maximum and minimum values are on the extreme ends</w:t>
      </w:r>
      <w:r>
        <w:rPr>
          <w:rFonts w:hAnsi="Times New Roman" w:cs="Times New Roman"/>
          <w:sz w:val="24"/>
          <w:szCs w:val="24"/>
        </w:rPr>
        <w:t xml:space="preserve"> of the distribution. They also show the probability of occurrences, which start between zero and end at 100.</w:t>
      </w:r>
    </w:p>
    <w:p w14:paraId="1AC25A66" w14:textId="77777777" w:rsidR="002732D7" w:rsidRDefault="00CF10E6">
      <w:pPr>
        <w:spacing w:line="480" w:lineRule="auto"/>
        <w:rPr>
          <w:rFonts w:hAnsi="Times New Roman" w:cs="Times New Roman"/>
          <w:sz w:val="24"/>
          <w:szCs w:val="24"/>
        </w:rPr>
      </w:pPr>
      <w:r>
        <w:rPr>
          <w:rFonts w:hAnsi="Times New Roman" w:cs="Times New Roman"/>
          <w:sz w:val="24"/>
          <w:szCs w:val="24"/>
        </w:rPr>
        <w:t>In this case, the number of cases per age are distributed based on the normal distribution of values. Figure 2 below shows how the cases where dis</w:t>
      </w:r>
      <w:r>
        <w:rPr>
          <w:rFonts w:hAnsi="Times New Roman" w:cs="Times New Roman"/>
          <w:sz w:val="24"/>
          <w:szCs w:val="24"/>
        </w:rPr>
        <w:t xml:space="preserve">tributed between week 10 to week 29. The figure also shows how the cases were distributed in different ages and how they have changed with time. </w:t>
      </w:r>
    </w:p>
    <w:p w14:paraId="2D12BA98" w14:textId="06450D29" w:rsidR="002732D7" w:rsidRDefault="0086258D">
      <w:pPr>
        <w:spacing w:line="480" w:lineRule="auto"/>
      </w:pPr>
      <w:r>
        <w:rPr>
          <w:noProof/>
        </w:rPr>
        <w:drawing>
          <wp:inline distT="0" distB="0" distL="0" distR="0" wp14:anchorId="30594E8F" wp14:editId="7E404C5B">
            <wp:extent cx="5700889" cy="3476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20290" cy="3488456"/>
                    </a:xfrm>
                    <a:prstGeom prst="rect">
                      <a:avLst/>
                    </a:prstGeom>
                  </pic:spPr>
                </pic:pic>
              </a:graphicData>
            </a:graphic>
          </wp:inline>
        </w:drawing>
      </w:r>
    </w:p>
    <w:p w14:paraId="428D3442" w14:textId="347F5FCF" w:rsidR="002732D7" w:rsidRDefault="00CF10E6">
      <w:pPr>
        <w:spacing w:line="480" w:lineRule="auto"/>
        <w:rPr>
          <w:rFonts w:hAnsi="Times New Roman" w:cs="Times New Roman"/>
          <w:sz w:val="24"/>
          <w:szCs w:val="24"/>
        </w:rPr>
      </w:pPr>
      <w:r>
        <w:rPr>
          <w:rFonts w:hAnsi="Times New Roman" w:cs="Times New Roman"/>
          <w:sz w:val="24"/>
          <w:szCs w:val="24"/>
        </w:rPr>
        <w:t>Figure 2: probability distribution between weeks 10 to 2</w:t>
      </w:r>
      <w:r w:rsidR="0086258D">
        <w:rPr>
          <w:rFonts w:hAnsi="Times New Roman" w:cs="Times New Roman"/>
          <w:sz w:val="24"/>
          <w:szCs w:val="24"/>
        </w:rPr>
        <w:t>7</w:t>
      </w:r>
      <w:r>
        <w:rPr>
          <w:rFonts w:hAnsi="Times New Roman" w:cs="Times New Roman"/>
          <w:sz w:val="24"/>
          <w:szCs w:val="24"/>
        </w:rPr>
        <w:t xml:space="preserve">. </w:t>
      </w:r>
    </w:p>
    <w:p w14:paraId="3E1A960D" w14:textId="77777777" w:rsidR="002732D7" w:rsidRDefault="00CF10E6">
      <w:pPr>
        <w:spacing w:line="480" w:lineRule="auto"/>
        <w:rPr>
          <w:rFonts w:hAnsi="Times New Roman" w:cs="Times New Roman"/>
          <w:sz w:val="24"/>
          <w:szCs w:val="24"/>
        </w:rPr>
      </w:pPr>
      <w:r>
        <w:rPr>
          <w:rFonts w:hAnsi="Times New Roman" w:cs="Times New Roman"/>
          <w:sz w:val="24"/>
          <w:szCs w:val="24"/>
        </w:rPr>
        <w:lastRenderedPageBreak/>
        <w:t>Figure 2 shows that the total number of cases wa</w:t>
      </w:r>
      <w:r>
        <w:rPr>
          <w:rFonts w:hAnsi="Times New Roman" w:cs="Times New Roman"/>
          <w:sz w:val="24"/>
          <w:szCs w:val="24"/>
        </w:rPr>
        <w:t xml:space="preserve">s 8396, with the highest number of victims being between 25 to 64 years of age. Weeks 15 and 16 had the highest number of cases, with the lowest cases being reported between weeks 24 to 27th. </w:t>
      </w:r>
    </w:p>
    <w:p w14:paraId="1CFB54E7" w14:textId="77777777" w:rsidR="002732D7" w:rsidRDefault="00CF10E6">
      <w:pPr>
        <w:spacing w:line="480" w:lineRule="auto"/>
        <w:rPr>
          <w:rFonts w:hAnsi="Times New Roman" w:cs="Times New Roman"/>
          <w:sz w:val="24"/>
          <w:szCs w:val="24"/>
        </w:rPr>
      </w:pPr>
      <w:r>
        <w:rPr>
          <w:rFonts w:hAnsi="Times New Roman" w:cs="Times New Roman"/>
          <w:sz w:val="24"/>
          <w:szCs w:val="24"/>
        </w:rPr>
        <w:t>The use of IQR to report to report the number of health care wo</w:t>
      </w:r>
      <w:r>
        <w:rPr>
          <w:rFonts w:hAnsi="Times New Roman" w:cs="Times New Roman"/>
          <w:sz w:val="24"/>
          <w:szCs w:val="24"/>
        </w:rPr>
        <w:t>rkers in different age brackets is important because it has a less sensitive measure of how values are spread. Using the interquartile range js necessary because it is resistant to outliers, which makes it easy to identify whether a value is an outlier. Us</w:t>
      </w:r>
      <w:r>
        <w:rPr>
          <w:rFonts w:hAnsi="Times New Roman" w:cs="Times New Roman"/>
          <w:sz w:val="24"/>
          <w:szCs w:val="24"/>
        </w:rPr>
        <w:t xml:space="preserve">ing this range also helps researchers know whether a value is a strong or a weak outlier. Also, this range shows how data is spread out and shows how part the first and third quartile show how data is spread in the middle 50% of the data set. </w:t>
      </w:r>
    </w:p>
    <w:p w14:paraId="70F4F622" w14:textId="77777777" w:rsidR="002732D7" w:rsidRDefault="00CF10E6">
      <w:pPr>
        <w:spacing w:line="480" w:lineRule="auto"/>
        <w:rPr>
          <w:rFonts w:hAnsi="Times New Roman" w:cs="Times New Roman"/>
          <w:sz w:val="24"/>
          <w:szCs w:val="24"/>
        </w:rPr>
      </w:pPr>
      <w:r>
        <w:rPr>
          <w:rFonts w:hAnsi="Times New Roman" w:cs="Times New Roman"/>
          <w:sz w:val="24"/>
          <w:szCs w:val="24"/>
        </w:rPr>
        <w:t>The three re</w:t>
      </w:r>
      <w:r>
        <w:rPr>
          <w:rFonts w:hAnsi="Times New Roman" w:cs="Times New Roman"/>
          <w:sz w:val="24"/>
          <w:szCs w:val="24"/>
        </w:rPr>
        <w:t>ference dates used are;</w:t>
      </w:r>
    </w:p>
    <w:p w14:paraId="00937CDA" w14:textId="77777777" w:rsidR="002732D7" w:rsidRDefault="00CF10E6">
      <w:pPr>
        <w:spacing w:line="480" w:lineRule="auto"/>
        <w:rPr>
          <w:rFonts w:hAnsi="Times New Roman" w:cs="Times New Roman"/>
          <w:sz w:val="24"/>
          <w:szCs w:val="24"/>
        </w:rPr>
      </w:pPr>
      <w:r>
        <w:rPr>
          <w:rFonts w:hAnsi="Times New Roman" w:cs="Times New Roman"/>
          <w:sz w:val="24"/>
          <w:szCs w:val="24"/>
        </w:rPr>
        <w:t xml:space="preserve">1. Peak of Phase 1 </w:t>
      </w:r>
      <w:r>
        <w:rPr>
          <w:rFonts w:hAnsi="Times New Roman" w:cs="Times New Roman"/>
          <w:sz w:val="24"/>
          <w:szCs w:val="24"/>
        </w:rPr>
        <w:t>–</w:t>
      </w:r>
      <w:r>
        <w:rPr>
          <w:rFonts w:hAnsi="Times New Roman" w:cs="Times New Roman"/>
          <w:sz w:val="24"/>
          <w:szCs w:val="24"/>
        </w:rPr>
        <w:t xml:space="preserve"> 20th of April </w:t>
      </w:r>
    </w:p>
    <w:p w14:paraId="35296C78" w14:textId="77777777" w:rsidR="002732D7" w:rsidRDefault="00CF10E6">
      <w:pPr>
        <w:spacing w:line="480" w:lineRule="auto"/>
        <w:rPr>
          <w:rFonts w:hAnsi="Times New Roman" w:cs="Times New Roman"/>
          <w:sz w:val="24"/>
          <w:szCs w:val="24"/>
        </w:rPr>
      </w:pPr>
      <w:r>
        <w:rPr>
          <w:rFonts w:hAnsi="Times New Roman" w:cs="Times New Roman"/>
          <w:sz w:val="24"/>
          <w:szCs w:val="24"/>
        </w:rPr>
        <w:t xml:space="preserve">2. End of Phase 1 / Beginning of Phase 2 </w:t>
      </w:r>
      <w:r>
        <w:rPr>
          <w:rFonts w:hAnsi="Times New Roman" w:cs="Times New Roman"/>
          <w:sz w:val="24"/>
          <w:szCs w:val="24"/>
        </w:rPr>
        <w:t>–</w:t>
      </w:r>
      <w:r>
        <w:rPr>
          <w:rFonts w:hAnsi="Times New Roman" w:cs="Times New Roman"/>
          <w:sz w:val="24"/>
          <w:szCs w:val="24"/>
        </w:rPr>
        <w:t xml:space="preserve"> 21st of July </w:t>
      </w:r>
    </w:p>
    <w:p w14:paraId="1133170F" w14:textId="77777777" w:rsidR="002732D7" w:rsidRDefault="00CF10E6">
      <w:pPr>
        <w:spacing w:line="480" w:lineRule="auto"/>
        <w:rPr>
          <w:rFonts w:ascii="Times New Roman" w:hAnsi="Times New Roman" w:cs="Times New Roman"/>
          <w:sz w:val="24"/>
          <w:szCs w:val="24"/>
        </w:rPr>
      </w:pPr>
      <w:r>
        <w:rPr>
          <w:rFonts w:hAnsi="Times New Roman" w:cs="Times New Roman"/>
          <w:sz w:val="24"/>
          <w:szCs w:val="24"/>
        </w:rPr>
        <w:t xml:space="preserve">3. Peak of Phase 2 </w:t>
      </w:r>
      <w:r>
        <w:rPr>
          <w:rFonts w:hAnsi="Times New Roman" w:cs="Times New Roman"/>
          <w:sz w:val="24"/>
          <w:szCs w:val="24"/>
        </w:rPr>
        <w:t>–</w:t>
      </w:r>
      <w:r>
        <w:rPr>
          <w:rFonts w:hAnsi="Times New Roman" w:cs="Times New Roman"/>
          <w:sz w:val="24"/>
          <w:szCs w:val="24"/>
        </w:rPr>
        <w:t xml:space="preserve"> 18th of October</w:t>
      </w:r>
    </w:p>
    <w:p w14:paraId="700842CC" w14:textId="77777777" w:rsidR="002732D7" w:rsidRDefault="00CF10E6">
      <w:pPr>
        <w:spacing w:line="480" w:lineRule="auto"/>
        <w:rPr>
          <w:rFonts w:hAnsi="Times New Roman" w:cs="Times New Roman"/>
          <w:sz w:val="24"/>
          <w:szCs w:val="24"/>
        </w:rPr>
      </w:pPr>
      <w:r>
        <w:rPr>
          <w:rFonts w:hAnsi="Times New Roman" w:cs="Times New Roman"/>
          <w:sz w:val="24"/>
          <w:szCs w:val="24"/>
        </w:rPr>
        <w:t xml:space="preserve">The probability that a healthcare worker will contract the virus on week 17 was 31.9%, on week 29 was </w:t>
      </w:r>
      <w:r>
        <w:rPr>
          <w:rFonts w:hAnsi="Times New Roman" w:cs="Times New Roman"/>
          <w:sz w:val="24"/>
          <w:szCs w:val="24"/>
        </w:rPr>
        <w:t>28.2% and week 42 was 1.6%. There was a very high probability of healthcare workers to contract COVD-19 virus on week 17, with 1243 (31.9%) of the total cases being out of the total cases being healthcare workers. The probability of healthcare professional</w:t>
      </w:r>
      <w:r>
        <w:rPr>
          <w:rFonts w:hAnsi="Times New Roman" w:cs="Times New Roman"/>
          <w:sz w:val="24"/>
          <w:szCs w:val="24"/>
        </w:rPr>
        <w:t>s contracting the virus decreased in the 29th week to 28.2%, with 44 out of the 156 recorded cases being healthcare workers. By the 42nd week in October, the probability had decreased to 1.6%. The decreasing number of healthcare professionals who contracte</w:t>
      </w:r>
      <w:r>
        <w:rPr>
          <w:rFonts w:hAnsi="Times New Roman" w:cs="Times New Roman"/>
          <w:sz w:val="24"/>
          <w:szCs w:val="24"/>
        </w:rPr>
        <w:t xml:space="preserve">d the virus shows that strict </w:t>
      </w:r>
      <w:r>
        <w:rPr>
          <w:rFonts w:hAnsi="Times New Roman" w:cs="Times New Roman"/>
          <w:sz w:val="24"/>
          <w:szCs w:val="24"/>
        </w:rPr>
        <w:lastRenderedPageBreak/>
        <w:t xml:space="preserve">protection measures have been put in place to improve and protect the wellbeing of workers in health care facilities. Besides, week 42 indicates a significant decrease in the number of cases compared to the previous points. </w:t>
      </w:r>
    </w:p>
    <w:p w14:paraId="07F771FA" w14:textId="77777777" w:rsidR="002732D7" w:rsidRDefault="00CF10E6">
      <w:pPr>
        <w:spacing w:line="480" w:lineRule="auto"/>
        <w:rPr>
          <w:rFonts w:hAnsi="Times New Roman" w:cs="Times New Roman"/>
          <w:b/>
          <w:bCs/>
          <w:sz w:val="24"/>
          <w:szCs w:val="24"/>
        </w:rPr>
      </w:pPr>
      <w:r>
        <w:rPr>
          <w:rFonts w:hAnsi="Times New Roman" w:cs="Times New Roman"/>
          <w:b/>
          <w:bCs/>
          <w:sz w:val="24"/>
          <w:szCs w:val="24"/>
        </w:rPr>
        <w:t xml:space="preserve">Statistical Inference </w:t>
      </w:r>
    </w:p>
    <w:p w14:paraId="3ADC483B" w14:textId="77777777" w:rsidR="002732D7" w:rsidRDefault="00CF10E6">
      <w:pPr>
        <w:spacing w:line="480" w:lineRule="auto"/>
        <w:rPr>
          <w:rFonts w:hAnsi="Times New Roman" w:cs="Times New Roman"/>
          <w:sz w:val="24"/>
          <w:szCs w:val="24"/>
        </w:rPr>
      </w:pPr>
      <w:r>
        <w:rPr>
          <w:rFonts w:hAnsi="Times New Roman" w:cs="Times New Roman"/>
          <w:sz w:val="24"/>
          <w:szCs w:val="24"/>
        </w:rPr>
        <w:t>Statistical inference can be defined as the process of making decisions about the parameters of a set of data using random sampling. It is used to measure uncertainty in a sample or the variation from one sample to another. According</w:t>
      </w:r>
      <w:r>
        <w:rPr>
          <w:rFonts w:hAnsi="Times New Roman" w:cs="Times New Roman"/>
          <w:sz w:val="24"/>
          <w:szCs w:val="24"/>
        </w:rPr>
        <w:t xml:space="preserve"> to Driscoll et al., statistical inference is used to help in development of generalized data, which can be further used to provide substantial conclusions. In the case of Ireland, statistical inference was used to identify the uncertainties in the number </w:t>
      </w:r>
      <w:r>
        <w:rPr>
          <w:rFonts w:hAnsi="Times New Roman" w:cs="Times New Roman"/>
          <w:sz w:val="24"/>
          <w:szCs w:val="24"/>
        </w:rPr>
        <w:t xml:space="preserve">of cases in each county. </w:t>
      </w:r>
    </w:p>
    <w:p w14:paraId="2FCBD30E"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In Carlow, the total cases were 1354, 3362 cases in Cavan, 2966 cases in Clare, 13288 cases in Cork, 5874 cases in Donegal, 48366 cases in Dublin, 4666 cases in Galway, 3036 in Kerry, 6438 in Kildare, 2233 in Kilkenny, 1831 in Lao</w:t>
      </w:r>
      <w:r>
        <w:rPr>
          <w:rFonts w:ascii="Times New Roman" w:hAnsi="Times New Roman" w:cs="Times New Roman"/>
          <w:sz w:val="24"/>
          <w:szCs w:val="24"/>
        </w:rPr>
        <w:t>is, 491 in Leitrim, 6633 in Limerick, 1059 in Longford, 5077 in Louth, 2981 in Mayo, 5683 in Meath, 2772 in Monaghan, 1908 in Offaly, 1398 in Roscommon, 1556 in Sligo, 2676 in Tipperary, 2380 in Waterford, 2193 in Westmeath, 3114 in Wexford, and 2560 in Wi</w:t>
      </w:r>
      <w:r>
        <w:rPr>
          <w:rFonts w:ascii="Times New Roman" w:hAnsi="Times New Roman" w:cs="Times New Roman"/>
          <w:sz w:val="24"/>
          <w:szCs w:val="24"/>
        </w:rPr>
        <w:t xml:space="preserve">cklow. From the data, the county with the highest number of cases is Dublin, with 48366 cases. The data is shown in table 1 below. </w:t>
      </w:r>
    </w:p>
    <w:p w14:paraId="396C8ED6"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 xml:space="preserve">Table 1: Number of cases per county </w:t>
      </w: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675"/>
        <w:gridCol w:w="4675"/>
      </w:tblGrid>
      <w:tr w:rsidR="002732D7" w14:paraId="5FC60738" w14:textId="77777777">
        <w:tc>
          <w:tcPr>
            <w:tcW w:w="4680" w:type="dxa"/>
            <w:tcBorders>
              <w:top w:val="single" w:sz="4" w:space="0" w:color="auto"/>
              <w:left w:val="single" w:sz="4" w:space="0" w:color="auto"/>
              <w:bottom w:val="single" w:sz="4" w:space="0" w:color="auto"/>
              <w:right w:val="single" w:sz="4" w:space="0" w:color="auto"/>
            </w:tcBorders>
          </w:tcPr>
          <w:p w14:paraId="14B07DEA" w14:textId="77777777" w:rsidR="002732D7" w:rsidRDefault="00CF10E6">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County </w:t>
            </w:r>
          </w:p>
        </w:tc>
        <w:tc>
          <w:tcPr>
            <w:tcW w:w="4680" w:type="dxa"/>
            <w:tcBorders>
              <w:top w:val="single" w:sz="4" w:space="0" w:color="auto"/>
              <w:left w:val="single" w:sz="4" w:space="0" w:color="auto"/>
              <w:bottom w:val="single" w:sz="4" w:space="0" w:color="auto"/>
              <w:right w:val="single" w:sz="4" w:space="0" w:color="auto"/>
            </w:tcBorders>
          </w:tcPr>
          <w:p w14:paraId="51DB2923" w14:textId="77777777" w:rsidR="002732D7" w:rsidRDefault="00CF10E6">
            <w:pPr>
              <w:spacing w:line="480" w:lineRule="auto"/>
              <w:rPr>
                <w:rFonts w:ascii="Times New Roman" w:hAnsi="Times New Roman" w:cs="Times New Roman"/>
                <w:b/>
                <w:bCs/>
                <w:sz w:val="24"/>
                <w:szCs w:val="24"/>
              </w:rPr>
            </w:pPr>
            <w:r>
              <w:rPr>
                <w:rFonts w:ascii="Times New Roman" w:hAnsi="Times New Roman" w:cs="Times New Roman"/>
                <w:b/>
                <w:bCs/>
                <w:sz w:val="24"/>
                <w:szCs w:val="24"/>
              </w:rPr>
              <w:t>No. Of cases per 100,000</w:t>
            </w:r>
          </w:p>
        </w:tc>
      </w:tr>
      <w:tr w:rsidR="002732D7" w14:paraId="30A08988" w14:textId="77777777">
        <w:tc>
          <w:tcPr>
            <w:tcW w:w="4680" w:type="dxa"/>
            <w:tcBorders>
              <w:top w:val="single" w:sz="4" w:space="0" w:color="auto"/>
              <w:left w:val="single" w:sz="4" w:space="0" w:color="auto"/>
              <w:bottom w:val="single" w:sz="4" w:space="0" w:color="auto"/>
              <w:right w:val="single" w:sz="4" w:space="0" w:color="auto"/>
            </w:tcBorders>
          </w:tcPr>
          <w:p w14:paraId="4B0FD193"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 xml:space="preserve">Carlow </w:t>
            </w:r>
          </w:p>
        </w:tc>
        <w:tc>
          <w:tcPr>
            <w:tcW w:w="4680" w:type="dxa"/>
            <w:tcBorders>
              <w:top w:val="single" w:sz="4" w:space="0" w:color="auto"/>
              <w:left w:val="single" w:sz="4" w:space="0" w:color="auto"/>
              <w:bottom w:val="single" w:sz="4" w:space="0" w:color="auto"/>
              <w:right w:val="single" w:sz="4" w:space="0" w:color="auto"/>
            </w:tcBorders>
          </w:tcPr>
          <w:p w14:paraId="38E7D343"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1354</w:t>
            </w:r>
          </w:p>
        </w:tc>
      </w:tr>
      <w:tr w:rsidR="002732D7" w14:paraId="4C66FF0A" w14:textId="77777777">
        <w:tc>
          <w:tcPr>
            <w:tcW w:w="4680" w:type="dxa"/>
            <w:tcBorders>
              <w:top w:val="single" w:sz="4" w:space="0" w:color="auto"/>
              <w:left w:val="single" w:sz="4" w:space="0" w:color="auto"/>
              <w:bottom w:val="single" w:sz="4" w:space="0" w:color="auto"/>
              <w:right w:val="single" w:sz="4" w:space="0" w:color="auto"/>
            </w:tcBorders>
          </w:tcPr>
          <w:p w14:paraId="19C8F83B"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Cavan</w:t>
            </w:r>
          </w:p>
        </w:tc>
        <w:tc>
          <w:tcPr>
            <w:tcW w:w="4680" w:type="dxa"/>
            <w:tcBorders>
              <w:top w:val="single" w:sz="4" w:space="0" w:color="auto"/>
              <w:left w:val="single" w:sz="4" w:space="0" w:color="auto"/>
              <w:bottom w:val="single" w:sz="4" w:space="0" w:color="auto"/>
              <w:right w:val="single" w:sz="4" w:space="0" w:color="auto"/>
            </w:tcBorders>
          </w:tcPr>
          <w:p w14:paraId="4DE7B065"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3362</w:t>
            </w:r>
          </w:p>
        </w:tc>
      </w:tr>
      <w:tr w:rsidR="002732D7" w14:paraId="3FB37C57" w14:textId="77777777">
        <w:tc>
          <w:tcPr>
            <w:tcW w:w="4680" w:type="dxa"/>
            <w:tcBorders>
              <w:top w:val="single" w:sz="4" w:space="0" w:color="auto"/>
              <w:left w:val="single" w:sz="4" w:space="0" w:color="auto"/>
              <w:bottom w:val="single" w:sz="4" w:space="0" w:color="auto"/>
              <w:right w:val="single" w:sz="4" w:space="0" w:color="auto"/>
            </w:tcBorders>
          </w:tcPr>
          <w:p w14:paraId="2652EF23"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Clare</w:t>
            </w:r>
          </w:p>
        </w:tc>
        <w:tc>
          <w:tcPr>
            <w:tcW w:w="4680" w:type="dxa"/>
            <w:tcBorders>
              <w:top w:val="single" w:sz="4" w:space="0" w:color="auto"/>
              <w:left w:val="single" w:sz="4" w:space="0" w:color="auto"/>
              <w:bottom w:val="single" w:sz="4" w:space="0" w:color="auto"/>
              <w:right w:val="single" w:sz="4" w:space="0" w:color="auto"/>
            </w:tcBorders>
          </w:tcPr>
          <w:p w14:paraId="56ACD6A6"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2966</w:t>
            </w:r>
          </w:p>
        </w:tc>
      </w:tr>
      <w:tr w:rsidR="002732D7" w14:paraId="45BC07AD" w14:textId="77777777">
        <w:tc>
          <w:tcPr>
            <w:tcW w:w="4680" w:type="dxa"/>
            <w:tcBorders>
              <w:top w:val="single" w:sz="4" w:space="0" w:color="auto"/>
              <w:left w:val="single" w:sz="4" w:space="0" w:color="auto"/>
              <w:bottom w:val="single" w:sz="4" w:space="0" w:color="auto"/>
              <w:right w:val="single" w:sz="4" w:space="0" w:color="auto"/>
            </w:tcBorders>
          </w:tcPr>
          <w:p w14:paraId="63B5EDDF"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Cork</w:t>
            </w:r>
          </w:p>
        </w:tc>
        <w:tc>
          <w:tcPr>
            <w:tcW w:w="4680" w:type="dxa"/>
            <w:tcBorders>
              <w:top w:val="single" w:sz="4" w:space="0" w:color="auto"/>
              <w:left w:val="single" w:sz="4" w:space="0" w:color="auto"/>
              <w:bottom w:val="single" w:sz="4" w:space="0" w:color="auto"/>
              <w:right w:val="single" w:sz="4" w:space="0" w:color="auto"/>
            </w:tcBorders>
          </w:tcPr>
          <w:p w14:paraId="55735CCD"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13288</w:t>
            </w:r>
          </w:p>
        </w:tc>
      </w:tr>
      <w:tr w:rsidR="002732D7" w14:paraId="09BADC83" w14:textId="77777777">
        <w:tc>
          <w:tcPr>
            <w:tcW w:w="4680" w:type="dxa"/>
            <w:tcBorders>
              <w:top w:val="single" w:sz="4" w:space="0" w:color="auto"/>
              <w:left w:val="single" w:sz="4" w:space="0" w:color="auto"/>
              <w:bottom w:val="single" w:sz="4" w:space="0" w:color="auto"/>
              <w:right w:val="single" w:sz="4" w:space="0" w:color="auto"/>
            </w:tcBorders>
          </w:tcPr>
          <w:p w14:paraId="597F6491"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Donegal</w:t>
            </w:r>
          </w:p>
        </w:tc>
        <w:tc>
          <w:tcPr>
            <w:tcW w:w="4680" w:type="dxa"/>
            <w:tcBorders>
              <w:top w:val="single" w:sz="4" w:space="0" w:color="auto"/>
              <w:left w:val="single" w:sz="4" w:space="0" w:color="auto"/>
              <w:bottom w:val="single" w:sz="4" w:space="0" w:color="auto"/>
              <w:right w:val="single" w:sz="4" w:space="0" w:color="auto"/>
            </w:tcBorders>
          </w:tcPr>
          <w:p w14:paraId="0741FE06"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5874</w:t>
            </w:r>
          </w:p>
        </w:tc>
      </w:tr>
      <w:tr w:rsidR="002732D7" w14:paraId="3281B15E" w14:textId="77777777">
        <w:tc>
          <w:tcPr>
            <w:tcW w:w="4680" w:type="dxa"/>
            <w:tcBorders>
              <w:top w:val="single" w:sz="4" w:space="0" w:color="auto"/>
              <w:left w:val="single" w:sz="4" w:space="0" w:color="auto"/>
              <w:bottom w:val="single" w:sz="4" w:space="0" w:color="auto"/>
              <w:right w:val="single" w:sz="4" w:space="0" w:color="auto"/>
            </w:tcBorders>
          </w:tcPr>
          <w:p w14:paraId="60AA4722"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Dublin</w:t>
            </w:r>
          </w:p>
        </w:tc>
        <w:tc>
          <w:tcPr>
            <w:tcW w:w="4680" w:type="dxa"/>
            <w:tcBorders>
              <w:top w:val="single" w:sz="4" w:space="0" w:color="auto"/>
              <w:left w:val="single" w:sz="4" w:space="0" w:color="auto"/>
              <w:bottom w:val="single" w:sz="4" w:space="0" w:color="auto"/>
              <w:right w:val="single" w:sz="4" w:space="0" w:color="auto"/>
            </w:tcBorders>
          </w:tcPr>
          <w:p w14:paraId="7F77D05E"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48366</w:t>
            </w:r>
          </w:p>
        </w:tc>
      </w:tr>
      <w:tr w:rsidR="002732D7" w14:paraId="3238ACF2" w14:textId="77777777">
        <w:tc>
          <w:tcPr>
            <w:tcW w:w="4680" w:type="dxa"/>
            <w:tcBorders>
              <w:top w:val="single" w:sz="4" w:space="0" w:color="auto"/>
              <w:left w:val="single" w:sz="4" w:space="0" w:color="auto"/>
              <w:bottom w:val="single" w:sz="4" w:space="0" w:color="auto"/>
              <w:right w:val="single" w:sz="4" w:space="0" w:color="auto"/>
            </w:tcBorders>
          </w:tcPr>
          <w:p w14:paraId="347E2982"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 xml:space="preserve">Galway </w:t>
            </w:r>
          </w:p>
        </w:tc>
        <w:tc>
          <w:tcPr>
            <w:tcW w:w="4680" w:type="dxa"/>
            <w:tcBorders>
              <w:top w:val="single" w:sz="4" w:space="0" w:color="auto"/>
              <w:left w:val="single" w:sz="4" w:space="0" w:color="auto"/>
              <w:bottom w:val="single" w:sz="4" w:space="0" w:color="auto"/>
              <w:right w:val="single" w:sz="4" w:space="0" w:color="auto"/>
            </w:tcBorders>
          </w:tcPr>
          <w:p w14:paraId="670B2934"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4666</w:t>
            </w:r>
          </w:p>
        </w:tc>
      </w:tr>
      <w:tr w:rsidR="002732D7" w14:paraId="541E438D" w14:textId="77777777">
        <w:tc>
          <w:tcPr>
            <w:tcW w:w="4680" w:type="dxa"/>
            <w:tcBorders>
              <w:top w:val="single" w:sz="4" w:space="0" w:color="auto"/>
              <w:left w:val="single" w:sz="4" w:space="0" w:color="auto"/>
              <w:bottom w:val="single" w:sz="4" w:space="0" w:color="auto"/>
              <w:right w:val="single" w:sz="4" w:space="0" w:color="auto"/>
            </w:tcBorders>
          </w:tcPr>
          <w:p w14:paraId="434F9FD3"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 xml:space="preserve">Kerry </w:t>
            </w:r>
          </w:p>
        </w:tc>
        <w:tc>
          <w:tcPr>
            <w:tcW w:w="4680" w:type="dxa"/>
            <w:tcBorders>
              <w:top w:val="single" w:sz="4" w:space="0" w:color="auto"/>
              <w:left w:val="single" w:sz="4" w:space="0" w:color="auto"/>
              <w:bottom w:val="single" w:sz="4" w:space="0" w:color="auto"/>
              <w:right w:val="single" w:sz="4" w:space="0" w:color="auto"/>
            </w:tcBorders>
          </w:tcPr>
          <w:p w14:paraId="60B3284F"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3036</w:t>
            </w:r>
          </w:p>
        </w:tc>
      </w:tr>
      <w:tr w:rsidR="002732D7" w14:paraId="0D80341B" w14:textId="77777777">
        <w:tc>
          <w:tcPr>
            <w:tcW w:w="4680" w:type="dxa"/>
            <w:tcBorders>
              <w:top w:val="single" w:sz="4" w:space="0" w:color="auto"/>
              <w:left w:val="single" w:sz="4" w:space="0" w:color="auto"/>
              <w:bottom w:val="single" w:sz="4" w:space="0" w:color="auto"/>
              <w:right w:val="single" w:sz="4" w:space="0" w:color="auto"/>
            </w:tcBorders>
          </w:tcPr>
          <w:p w14:paraId="281264CC"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Kildare</w:t>
            </w:r>
          </w:p>
        </w:tc>
        <w:tc>
          <w:tcPr>
            <w:tcW w:w="4680" w:type="dxa"/>
            <w:tcBorders>
              <w:top w:val="single" w:sz="4" w:space="0" w:color="auto"/>
              <w:left w:val="single" w:sz="4" w:space="0" w:color="auto"/>
              <w:bottom w:val="single" w:sz="4" w:space="0" w:color="auto"/>
              <w:right w:val="single" w:sz="4" w:space="0" w:color="auto"/>
            </w:tcBorders>
          </w:tcPr>
          <w:p w14:paraId="64B1A127"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6438</w:t>
            </w:r>
          </w:p>
        </w:tc>
      </w:tr>
      <w:tr w:rsidR="002732D7" w14:paraId="7553046D" w14:textId="77777777">
        <w:tc>
          <w:tcPr>
            <w:tcW w:w="4680" w:type="dxa"/>
            <w:tcBorders>
              <w:top w:val="single" w:sz="4" w:space="0" w:color="auto"/>
              <w:left w:val="single" w:sz="4" w:space="0" w:color="auto"/>
              <w:bottom w:val="single" w:sz="4" w:space="0" w:color="auto"/>
              <w:right w:val="single" w:sz="4" w:space="0" w:color="auto"/>
            </w:tcBorders>
          </w:tcPr>
          <w:p w14:paraId="0A5BA89C"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 xml:space="preserve">Kilkenny </w:t>
            </w:r>
          </w:p>
        </w:tc>
        <w:tc>
          <w:tcPr>
            <w:tcW w:w="4680" w:type="dxa"/>
            <w:tcBorders>
              <w:top w:val="single" w:sz="4" w:space="0" w:color="auto"/>
              <w:left w:val="single" w:sz="4" w:space="0" w:color="auto"/>
              <w:bottom w:val="single" w:sz="4" w:space="0" w:color="auto"/>
              <w:right w:val="single" w:sz="4" w:space="0" w:color="auto"/>
            </w:tcBorders>
          </w:tcPr>
          <w:p w14:paraId="79601002"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2233</w:t>
            </w:r>
          </w:p>
        </w:tc>
      </w:tr>
      <w:tr w:rsidR="002732D7" w14:paraId="591929D0" w14:textId="77777777">
        <w:tc>
          <w:tcPr>
            <w:tcW w:w="4680" w:type="dxa"/>
            <w:tcBorders>
              <w:top w:val="single" w:sz="4" w:space="0" w:color="auto"/>
              <w:left w:val="single" w:sz="4" w:space="0" w:color="auto"/>
              <w:bottom w:val="single" w:sz="4" w:space="0" w:color="auto"/>
              <w:right w:val="single" w:sz="4" w:space="0" w:color="auto"/>
            </w:tcBorders>
          </w:tcPr>
          <w:p w14:paraId="0CDDB26D"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 xml:space="preserve">Laois </w:t>
            </w:r>
          </w:p>
        </w:tc>
        <w:tc>
          <w:tcPr>
            <w:tcW w:w="4680" w:type="dxa"/>
            <w:tcBorders>
              <w:top w:val="single" w:sz="4" w:space="0" w:color="auto"/>
              <w:left w:val="single" w:sz="4" w:space="0" w:color="auto"/>
              <w:bottom w:val="single" w:sz="4" w:space="0" w:color="auto"/>
              <w:right w:val="single" w:sz="4" w:space="0" w:color="auto"/>
            </w:tcBorders>
          </w:tcPr>
          <w:p w14:paraId="3012B792"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1831</w:t>
            </w:r>
          </w:p>
        </w:tc>
      </w:tr>
      <w:tr w:rsidR="002732D7" w14:paraId="2737A05A" w14:textId="77777777">
        <w:tc>
          <w:tcPr>
            <w:tcW w:w="4680" w:type="dxa"/>
            <w:tcBorders>
              <w:top w:val="single" w:sz="4" w:space="0" w:color="auto"/>
              <w:left w:val="single" w:sz="4" w:space="0" w:color="auto"/>
              <w:bottom w:val="single" w:sz="4" w:space="0" w:color="auto"/>
              <w:right w:val="single" w:sz="4" w:space="0" w:color="auto"/>
            </w:tcBorders>
          </w:tcPr>
          <w:p w14:paraId="3565FF3C"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 xml:space="preserve">Leitrim </w:t>
            </w:r>
          </w:p>
        </w:tc>
        <w:tc>
          <w:tcPr>
            <w:tcW w:w="4680" w:type="dxa"/>
            <w:tcBorders>
              <w:top w:val="single" w:sz="4" w:space="0" w:color="auto"/>
              <w:left w:val="single" w:sz="4" w:space="0" w:color="auto"/>
              <w:bottom w:val="single" w:sz="4" w:space="0" w:color="auto"/>
              <w:right w:val="single" w:sz="4" w:space="0" w:color="auto"/>
            </w:tcBorders>
          </w:tcPr>
          <w:p w14:paraId="24FD5F24"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491</w:t>
            </w:r>
          </w:p>
        </w:tc>
      </w:tr>
      <w:tr w:rsidR="002732D7" w14:paraId="3CE8425A" w14:textId="77777777">
        <w:tc>
          <w:tcPr>
            <w:tcW w:w="4680" w:type="dxa"/>
            <w:tcBorders>
              <w:top w:val="single" w:sz="4" w:space="0" w:color="auto"/>
              <w:left w:val="single" w:sz="4" w:space="0" w:color="auto"/>
              <w:bottom w:val="single" w:sz="4" w:space="0" w:color="auto"/>
              <w:right w:val="single" w:sz="4" w:space="0" w:color="auto"/>
            </w:tcBorders>
          </w:tcPr>
          <w:p w14:paraId="1C0F5FFC"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 xml:space="preserve">Limerick </w:t>
            </w:r>
          </w:p>
        </w:tc>
        <w:tc>
          <w:tcPr>
            <w:tcW w:w="4680" w:type="dxa"/>
            <w:tcBorders>
              <w:top w:val="single" w:sz="4" w:space="0" w:color="auto"/>
              <w:left w:val="single" w:sz="4" w:space="0" w:color="auto"/>
              <w:bottom w:val="single" w:sz="4" w:space="0" w:color="auto"/>
              <w:right w:val="single" w:sz="4" w:space="0" w:color="auto"/>
            </w:tcBorders>
          </w:tcPr>
          <w:p w14:paraId="14E1FE5F"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6633</w:t>
            </w:r>
          </w:p>
        </w:tc>
      </w:tr>
      <w:tr w:rsidR="002732D7" w14:paraId="6C9AA2FF" w14:textId="77777777">
        <w:tc>
          <w:tcPr>
            <w:tcW w:w="4680" w:type="dxa"/>
            <w:tcBorders>
              <w:top w:val="single" w:sz="4" w:space="0" w:color="auto"/>
              <w:left w:val="single" w:sz="4" w:space="0" w:color="auto"/>
              <w:bottom w:val="single" w:sz="4" w:space="0" w:color="auto"/>
              <w:right w:val="single" w:sz="4" w:space="0" w:color="auto"/>
            </w:tcBorders>
          </w:tcPr>
          <w:p w14:paraId="3546473F"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 xml:space="preserve">Longford </w:t>
            </w:r>
          </w:p>
        </w:tc>
        <w:tc>
          <w:tcPr>
            <w:tcW w:w="4680" w:type="dxa"/>
            <w:tcBorders>
              <w:top w:val="single" w:sz="4" w:space="0" w:color="auto"/>
              <w:left w:val="single" w:sz="4" w:space="0" w:color="auto"/>
              <w:bottom w:val="single" w:sz="4" w:space="0" w:color="auto"/>
              <w:right w:val="single" w:sz="4" w:space="0" w:color="auto"/>
            </w:tcBorders>
          </w:tcPr>
          <w:p w14:paraId="6427F97A"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1059</w:t>
            </w:r>
          </w:p>
        </w:tc>
      </w:tr>
      <w:tr w:rsidR="002732D7" w14:paraId="472EB770" w14:textId="77777777">
        <w:tc>
          <w:tcPr>
            <w:tcW w:w="4680" w:type="dxa"/>
            <w:tcBorders>
              <w:top w:val="single" w:sz="4" w:space="0" w:color="auto"/>
              <w:left w:val="single" w:sz="4" w:space="0" w:color="auto"/>
              <w:bottom w:val="single" w:sz="4" w:space="0" w:color="auto"/>
              <w:right w:val="single" w:sz="4" w:space="0" w:color="auto"/>
            </w:tcBorders>
          </w:tcPr>
          <w:p w14:paraId="036BFD23"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 xml:space="preserve">Louth </w:t>
            </w:r>
          </w:p>
        </w:tc>
        <w:tc>
          <w:tcPr>
            <w:tcW w:w="4680" w:type="dxa"/>
            <w:tcBorders>
              <w:top w:val="single" w:sz="4" w:space="0" w:color="auto"/>
              <w:left w:val="single" w:sz="4" w:space="0" w:color="auto"/>
              <w:bottom w:val="single" w:sz="4" w:space="0" w:color="auto"/>
              <w:right w:val="single" w:sz="4" w:space="0" w:color="auto"/>
            </w:tcBorders>
          </w:tcPr>
          <w:p w14:paraId="60DADBCA"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5077</w:t>
            </w:r>
          </w:p>
        </w:tc>
      </w:tr>
      <w:tr w:rsidR="002732D7" w14:paraId="0CD8B3A8" w14:textId="77777777">
        <w:tc>
          <w:tcPr>
            <w:tcW w:w="4680" w:type="dxa"/>
            <w:tcBorders>
              <w:top w:val="single" w:sz="4" w:space="0" w:color="auto"/>
              <w:left w:val="single" w:sz="4" w:space="0" w:color="auto"/>
              <w:bottom w:val="single" w:sz="4" w:space="0" w:color="auto"/>
              <w:right w:val="single" w:sz="4" w:space="0" w:color="auto"/>
            </w:tcBorders>
          </w:tcPr>
          <w:p w14:paraId="66402278"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 xml:space="preserve">Mayo </w:t>
            </w:r>
          </w:p>
        </w:tc>
        <w:tc>
          <w:tcPr>
            <w:tcW w:w="4680" w:type="dxa"/>
            <w:tcBorders>
              <w:top w:val="single" w:sz="4" w:space="0" w:color="auto"/>
              <w:left w:val="single" w:sz="4" w:space="0" w:color="auto"/>
              <w:bottom w:val="single" w:sz="4" w:space="0" w:color="auto"/>
              <w:right w:val="single" w:sz="4" w:space="0" w:color="auto"/>
            </w:tcBorders>
          </w:tcPr>
          <w:p w14:paraId="45774D2E"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2981</w:t>
            </w:r>
          </w:p>
        </w:tc>
      </w:tr>
      <w:tr w:rsidR="002732D7" w14:paraId="1F85AEE3" w14:textId="77777777">
        <w:tc>
          <w:tcPr>
            <w:tcW w:w="4680" w:type="dxa"/>
            <w:tcBorders>
              <w:top w:val="single" w:sz="4" w:space="0" w:color="auto"/>
              <w:left w:val="single" w:sz="4" w:space="0" w:color="auto"/>
              <w:bottom w:val="single" w:sz="4" w:space="0" w:color="auto"/>
              <w:right w:val="single" w:sz="4" w:space="0" w:color="auto"/>
            </w:tcBorders>
          </w:tcPr>
          <w:p w14:paraId="7070F49E"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 xml:space="preserve">Meath </w:t>
            </w:r>
          </w:p>
        </w:tc>
        <w:tc>
          <w:tcPr>
            <w:tcW w:w="4680" w:type="dxa"/>
            <w:tcBorders>
              <w:top w:val="single" w:sz="4" w:space="0" w:color="auto"/>
              <w:left w:val="single" w:sz="4" w:space="0" w:color="auto"/>
              <w:bottom w:val="single" w:sz="4" w:space="0" w:color="auto"/>
              <w:right w:val="single" w:sz="4" w:space="0" w:color="auto"/>
            </w:tcBorders>
          </w:tcPr>
          <w:p w14:paraId="38654144"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5683</w:t>
            </w:r>
          </w:p>
        </w:tc>
      </w:tr>
      <w:tr w:rsidR="002732D7" w14:paraId="3D75CD30" w14:textId="77777777">
        <w:tc>
          <w:tcPr>
            <w:tcW w:w="4680" w:type="dxa"/>
            <w:tcBorders>
              <w:top w:val="single" w:sz="4" w:space="0" w:color="auto"/>
              <w:left w:val="single" w:sz="4" w:space="0" w:color="auto"/>
              <w:bottom w:val="single" w:sz="4" w:space="0" w:color="auto"/>
              <w:right w:val="single" w:sz="4" w:space="0" w:color="auto"/>
            </w:tcBorders>
          </w:tcPr>
          <w:p w14:paraId="6693047E"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Monaghan</w:t>
            </w:r>
          </w:p>
        </w:tc>
        <w:tc>
          <w:tcPr>
            <w:tcW w:w="4680" w:type="dxa"/>
            <w:tcBorders>
              <w:top w:val="single" w:sz="4" w:space="0" w:color="auto"/>
              <w:left w:val="single" w:sz="4" w:space="0" w:color="auto"/>
              <w:bottom w:val="single" w:sz="4" w:space="0" w:color="auto"/>
              <w:right w:val="single" w:sz="4" w:space="0" w:color="auto"/>
            </w:tcBorders>
          </w:tcPr>
          <w:p w14:paraId="3120414C"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2772</w:t>
            </w:r>
          </w:p>
        </w:tc>
      </w:tr>
      <w:tr w:rsidR="002732D7" w14:paraId="4529E3F5" w14:textId="77777777">
        <w:tc>
          <w:tcPr>
            <w:tcW w:w="4680" w:type="dxa"/>
            <w:tcBorders>
              <w:top w:val="single" w:sz="4" w:space="0" w:color="auto"/>
              <w:left w:val="single" w:sz="4" w:space="0" w:color="auto"/>
              <w:bottom w:val="single" w:sz="4" w:space="0" w:color="auto"/>
              <w:right w:val="single" w:sz="4" w:space="0" w:color="auto"/>
            </w:tcBorders>
          </w:tcPr>
          <w:p w14:paraId="6B4D7656"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Ofally</w:t>
            </w:r>
          </w:p>
        </w:tc>
        <w:tc>
          <w:tcPr>
            <w:tcW w:w="4680" w:type="dxa"/>
            <w:tcBorders>
              <w:top w:val="single" w:sz="4" w:space="0" w:color="auto"/>
              <w:left w:val="single" w:sz="4" w:space="0" w:color="auto"/>
              <w:bottom w:val="single" w:sz="4" w:space="0" w:color="auto"/>
              <w:right w:val="single" w:sz="4" w:space="0" w:color="auto"/>
            </w:tcBorders>
          </w:tcPr>
          <w:p w14:paraId="15C1C186"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1908</w:t>
            </w:r>
          </w:p>
        </w:tc>
      </w:tr>
      <w:tr w:rsidR="002732D7" w14:paraId="7638F236" w14:textId="77777777">
        <w:tc>
          <w:tcPr>
            <w:tcW w:w="4680" w:type="dxa"/>
            <w:tcBorders>
              <w:top w:val="single" w:sz="4" w:space="0" w:color="auto"/>
              <w:left w:val="single" w:sz="4" w:space="0" w:color="auto"/>
              <w:bottom w:val="single" w:sz="4" w:space="0" w:color="auto"/>
              <w:right w:val="single" w:sz="4" w:space="0" w:color="auto"/>
            </w:tcBorders>
          </w:tcPr>
          <w:p w14:paraId="731B0345"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 xml:space="preserve">Roscommon </w:t>
            </w:r>
          </w:p>
        </w:tc>
        <w:tc>
          <w:tcPr>
            <w:tcW w:w="4680" w:type="dxa"/>
            <w:tcBorders>
              <w:top w:val="single" w:sz="4" w:space="0" w:color="auto"/>
              <w:left w:val="single" w:sz="4" w:space="0" w:color="auto"/>
              <w:bottom w:val="single" w:sz="4" w:space="0" w:color="auto"/>
              <w:right w:val="single" w:sz="4" w:space="0" w:color="auto"/>
            </w:tcBorders>
          </w:tcPr>
          <w:p w14:paraId="6E596307"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1398</w:t>
            </w:r>
          </w:p>
        </w:tc>
      </w:tr>
      <w:tr w:rsidR="002732D7" w14:paraId="252C80A6" w14:textId="77777777">
        <w:tc>
          <w:tcPr>
            <w:tcW w:w="4680" w:type="dxa"/>
            <w:tcBorders>
              <w:top w:val="single" w:sz="4" w:space="0" w:color="auto"/>
              <w:left w:val="single" w:sz="4" w:space="0" w:color="auto"/>
              <w:bottom w:val="single" w:sz="4" w:space="0" w:color="auto"/>
              <w:right w:val="single" w:sz="4" w:space="0" w:color="auto"/>
            </w:tcBorders>
          </w:tcPr>
          <w:p w14:paraId="01B0E666"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 xml:space="preserve">Silgo </w:t>
            </w:r>
          </w:p>
        </w:tc>
        <w:tc>
          <w:tcPr>
            <w:tcW w:w="4680" w:type="dxa"/>
            <w:tcBorders>
              <w:top w:val="single" w:sz="4" w:space="0" w:color="auto"/>
              <w:left w:val="single" w:sz="4" w:space="0" w:color="auto"/>
              <w:bottom w:val="single" w:sz="4" w:space="0" w:color="auto"/>
              <w:right w:val="single" w:sz="4" w:space="0" w:color="auto"/>
            </w:tcBorders>
          </w:tcPr>
          <w:p w14:paraId="7A83965E"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1556</w:t>
            </w:r>
          </w:p>
        </w:tc>
      </w:tr>
      <w:tr w:rsidR="002732D7" w14:paraId="2B71725B" w14:textId="77777777">
        <w:tc>
          <w:tcPr>
            <w:tcW w:w="4680" w:type="dxa"/>
            <w:tcBorders>
              <w:top w:val="single" w:sz="4" w:space="0" w:color="auto"/>
              <w:left w:val="single" w:sz="4" w:space="0" w:color="auto"/>
              <w:bottom w:val="single" w:sz="4" w:space="0" w:color="auto"/>
              <w:right w:val="single" w:sz="4" w:space="0" w:color="auto"/>
            </w:tcBorders>
          </w:tcPr>
          <w:p w14:paraId="37502B75"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 xml:space="preserve">Tipperary </w:t>
            </w:r>
          </w:p>
        </w:tc>
        <w:tc>
          <w:tcPr>
            <w:tcW w:w="4680" w:type="dxa"/>
            <w:tcBorders>
              <w:top w:val="single" w:sz="4" w:space="0" w:color="auto"/>
              <w:left w:val="single" w:sz="4" w:space="0" w:color="auto"/>
              <w:bottom w:val="single" w:sz="4" w:space="0" w:color="auto"/>
              <w:right w:val="single" w:sz="4" w:space="0" w:color="auto"/>
            </w:tcBorders>
          </w:tcPr>
          <w:p w14:paraId="19A00877"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2676</w:t>
            </w:r>
          </w:p>
        </w:tc>
      </w:tr>
      <w:tr w:rsidR="002732D7" w14:paraId="792FBB98" w14:textId="77777777">
        <w:tc>
          <w:tcPr>
            <w:tcW w:w="4680" w:type="dxa"/>
            <w:tcBorders>
              <w:top w:val="single" w:sz="4" w:space="0" w:color="auto"/>
              <w:left w:val="single" w:sz="4" w:space="0" w:color="auto"/>
              <w:bottom w:val="single" w:sz="4" w:space="0" w:color="auto"/>
              <w:right w:val="single" w:sz="4" w:space="0" w:color="auto"/>
            </w:tcBorders>
          </w:tcPr>
          <w:p w14:paraId="3A3CDE95"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 xml:space="preserve">Waterford </w:t>
            </w:r>
          </w:p>
        </w:tc>
        <w:tc>
          <w:tcPr>
            <w:tcW w:w="4680" w:type="dxa"/>
            <w:tcBorders>
              <w:top w:val="single" w:sz="4" w:space="0" w:color="auto"/>
              <w:left w:val="single" w:sz="4" w:space="0" w:color="auto"/>
              <w:bottom w:val="single" w:sz="4" w:space="0" w:color="auto"/>
              <w:right w:val="single" w:sz="4" w:space="0" w:color="auto"/>
            </w:tcBorders>
          </w:tcPr>
          <w:p w14:paraId="4C33C595"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2380</w:t>
            </w:r>
          </w:p>
        </w:tc>
      </w:tr>
      <w:tr w:rsidR="002732D7" w14:paraId="734E7D30" w14:textId="77777777">
        <w:tc>
          <w:tcPr>
            <w:tcW w:w="4680" w:type="dxa"/>
            <w:tcBorders>
              <w:top w:val="single" w:sz="4" w:space="0" w:color="auto"/>
              <w:left w:val="single" w:sz="4" w:space="0" w:color="auto"/>
              <w:bottom w:val="single" w:sz="4" w:space="0" w:color="auto"/>
              <w:right w:val="single" w:sz="4" w:space="0" w:color="auto"/>
            </w:tcBorders>
          </w:tcPr>
          <w:p w14:paraId="373CA796"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 xml:space="preserve">Westmeath </w:t>
            </w:r>
          </w:p>
        </w:tc>
        <w:tc>
          <w:tcPr>
            <w:tcW w:w="4680" w:type="dxa"/>
            <w:tcBorders>
              <w:top w:val="single" w:sz="4" w:space="0" w:color="auto"/>
              <w:left w:val="single" w:sz="4" w:space="0" w:color="auto"/>
              <w:bottom w:val="single" w:sz="4" w:space="0" w:color="auto"/>
              <w:right w:val="single" w:sz="4" w:space="0" w:color="auto"/>
            </w:tcBorders>
          </w:tcPr>
          <w:p w14:paraId="2CF5F897"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2193</w:t>
            </w:r>
          </w:p>
        </w:tc>
      </w:tr>
      <w:tr w:rsidR="002732D7" w14:paraId="077C1EC2" w14:textId="77777777">
        <w:tc>
          <w:tcPr>
            <w:tcW w:w="4680" w:type="dxa"/>
            <w:tcBorders>
              <w:top w:val="single" w:sz="4" w:space="0" w:color="auto"/>
              <w:left w:val="single" w:sz="4" w:space="0" w:color="auto"/>
              <w:bottom w:val="single" w:sz="4" w:space="0" w:color="auto"/>
              <w:right w:val="single" w:sz="4" w:space="0" w:color="auto"/>
            </w:tcBorders>
          </w:tcPr>
          <w:p w14:paraId="25258D74"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 xml:space="preserve">Wexford </w:t>
            </w:r>
          </w:p>
        </w:tc>
        <w:tc>
          <w:tcPr>
            <w:tcW w:w="4680" w:type="dxa"/>
            <w:tcBorders>
              <w:top w:val="single" w:sz="4" w:space="0" w:color="auto"/>
              <w:left w:val="single" w:sz="4" w:space="0" w:color="auto"/>
              <w:bottom w:val="single" w:sz="4" w:space="0" w:color="auto"/>
              <w:right w:val="single" w:sz="4" w:space="0" w:color="auto"/>
            </w:tcBorders>
          </w:tcPr>
          <w:p w14:paraId="2CB06E16"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3114</w:t>
            </w:r>
          </w:p>
        </w:tc>
      </w:tr>
      <w:tr w:rsidR="002732D7" w14:paraId="5E8766AB" w14:textId="77777777">
        <w:tc>
          <w:tcPr>
            <w:tcW w:w="4680" w:type="dxa"/>
            <w:tcBorders>
              <w:top w:val="single" w:sz="4" w:space="0" w:color="auto"/>
              <w:left w:val="single" w:sz="4" w:space="0" w:color="auto"/>
              <w:bottom w:val="single" w:sz="4" w:space="0" w:color="auto"/>
              <w:right w:val="single" w:sz="4" w:space="0" w:color="auto"/>
            </w:tcBorders>
          </w:tcPr>
          <w:p w14:paraId="3FB4A702"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 xml:space="preserve">Wicklow </w:t>
            </w:r>
          </w:p>
        </w:tc>
        <w:tc>
          <w:tcPr>
            <w:tcW w:w="4680" w:type="dxa"/>
            <w:tcBorders>
              <w:top w:val="single" w:sz="4" w:space="0" w:color="auto"/>
              <w:left w:val="single" w:sz="4" w:space="0" w:color="auto"/>
              <w:bottom w:val="single" w:sz="4" w:space="0" w:color="auto"/>
              <w:right w:val="single" w:sz="4" w:space="0" w:color="auto"/>
            </w:tcBorders>
          </w:tcPr>
          <w:p w14:paraId="1077C9DA"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2560</w:t>
            </w:r>
          </w:p>
        </w:tc>
      </w:tr>
    </w:tbl>
    <w:p w14:paraId="0B7A89FD" w14:textId="77777777" w:rsidR="002732D7" w:rsidRDefault="002732D7">
      <w:pPr>
        <w:spacing w:line="480" w:lineRule="auto"/>
        <w:rPr>
          <w:rFonts w:ascii="Times New Roman" w:hAnsi="Times New Roman" w:cs="Times New Roman"/>
          <w:sz w:val="24"/>
          <w:szCs w:val="24"/>
        </w:rPr>
      </w:pPr>
    </w:p>
    <w:p w14:paraId="770C568B" w14:textId="77777777" w:rsidR="002732D7" w:rsidRDefault="00CF10E6">
      <w:pPr>
        <w:spacing w:line="480" w:lineRule="auto"/>
        <w:rPr>
          <w:rFonts w:hAnsi="Times New Roman" w:cs="Times New Roman"/>
          <w:sz w:val="24"/>
          <w:szCs w:val="24"/>
        </w:rPr>
      </w:pPr>
      <w:r>
        <w:rPr>
          <w:rFonts w:hAnsi="Times New Roman" w:cs="Times New Roman"/>
          <w:sz w:val="24"/>
          <w:szCs w:val="24"/>
        </w:rPr>
        <w:t>The number of cases per 100,000 people in Galway is 4666, which is very low compared to the number of cases in Dublin. The county with the lowest incidence is Leitrim, with 491 cases. There is a significant statistical difference between the number of case</w:t>
      </w:r>
      <w:r>
        <w:rPr>
          <w:rFonts w:hAnsi="Times New Roman" w:cs="Times New Roman"/>
          <w:sz w:val="24"/>
          <w:szCs w:val="24"/>
        </w:rPr>
        <w:t xml:space="preserve">s in Galway compared to the cases in Leitrim. The national average incidence rate is 936.4 cases per 100,000 people in a 14-day average. </w:t>
      </w:r>
    </w:p>
    <w:p w14:paraId="2F611612" w14:textId="77777777" w:rsidR="002732D7" w:rsidRDefault="00CF10E6">
      <w:pPr>
        <w:spacing w:line="480" w:lineRule="auto"/>
        <w:rPr>
          <w:rFonts w:hAnsi="Times New Roman" w:cs="Times New Roman"/>
          <w:sz w:val="24"/>
          <w:szCs w:val="24"/>
        </w:rPr>
      </w:pPr>
      <w:r>
        <w:rPr>
          <w:rFonts w:hAnsi="Times New Roman" w:cs="Times New Roman"/>
          <w:sz w:val="24"/>
          <w:szCs w:val="24"/>
        </w:rPr>
        <w:t xml:space="preserve"> Compared to other European Union countries, Ireland seems to be outperforming them in terms of controlling coronaviru</w:t>
      </w:r>
      <w:r>
        <w:rPr>
          <w:rFonts w:hAnsi="Times New Roman" w:cs="Times New Roman"/>
          <w:sz w:val="24"/>
          <w:szCs w:val="24"/>
        </w:rPr>
        <w:t>s pandemic. According to Horgan-Jones, Ireland has had approximately 30% decrease in the number of cases, while other countries have witnessed a surge in cases. Ireland was identified to be among the countries with the highest notification rate of above 60</w:t>
      </w:r>
      <w:r>
        <w:rPr>
          <w:rFonts w:hAnsi="Times New Roman" w:cs="Times New Roman"/>
          <w:sz w:val="24"/>
          <w:szCs w:val="24"/>
        </w:rPr>
        <w:t xml:space="preserve"> people in 100,000 population. The country was among those with people aged 65 years and above having an increase in the number of cases. Ireland had a high weekly test </w:t>
      </w:r>
      <w:r>
        <w:rPr>
          <w:rFonts w:hAnsi="Times New Roman" w:cs="Times New Roman"/>
          <w:sz w:val="24"/>
          <w:szCs w:val="24"/>
        </w:rPr>
        <w:lastRenderedPageBreak/>
        <w:t>positivity of at least 3%. Ireland had a 25% hospital and ICU admissions during the pea</w:t>
      </w:r>
      <w:r>
        <w:rPr>
          <w:rFonts w:hAnsi="Times New Roman" w:cs="Times New Roman"/>
          <w:sz w:val="24"/>
          <w:szCs w:val="24"/>
        </w:rPr>
        <w:t xml:space="preserve">k. Compared to other European countries, Ireland was among those with the highest death rate. From these statistics, it can be identified that Ireland is among the countries with a high number of cases despite its success in controlling the pandemic. </w:t>
      </w:r>
    </w:p>
    <w:p w14:paraId="3A9888E1" w14:textId="77777777" w:rsidR="002732D7" w:rsidRDefault="00CF10E6">
      <w:pPr>
        <w:spacing w:line="480" w:lineRule="auto"/>
        <w:rPr>
          <w:rFonts w:hAnsi="Times New Roman" w:cs="Times New Roman"/>
          <w:b/>
          <w:bCs/>
          <w:sz w:val="24"/>
          <w:szCs w:val="24"/>
        </w:rPr>
      </w:pPr>
      <w:r>
        <w:rPr>
          <w:rFonts w:hAnsi="Times New Roman" w:cs="Times New Roman"/>
          <w:b/>
          <w:bCs/>
          <w:sz w:val="24"/>
          <w:szCs w:val="24"/>
        </w:rPr>
        <w:t>Cate</w:t>
      </w:r>
      <w:r>
        <w:rPr>
          <w:rFonts w:hAnsi="Times New Roman" w:cs="Times New Roman"/>
          <w:b/>
          <w:bCs/>
          <w:sz w:val="24"/>
          <w:szCs w:val="24"/>
        </w:rPr>
        <w:t xml:space="preserve">gorical data/ Multinominal data </w:t>
      </w:r>
    </w:p>
    <w:p w14:paraId="08C7FF80" w14:textId="77777777" w:rsidR="002732D7" w:rsidRDefault="00CF10E6">
      <w:pPr>
        <w:spacing w:line="480" w:lineRule="auto"/>
        <w:rPr>
          <w:rFonts w:hAnsi="Times New Roman" w:cs="Times New Roman"/>
          <w:sz w:val="24"/>
          <w:szCs w:val="24"/>
        </w:rPr>
      </w:pPr>
      <w:r>
        <w:rPr>
          <w:rFonts w:hAnsi="Times New Roman" w:cs="Times New Roman"/>
          <w:sz w:val="24"/>
          <w:szCs w:val="24"/>
        </w:rPr>
        <w:t>Categorical data can be defined as data that can be divided into groups. Categorical variables are those that have more than one category and can be used to assign units of observation to a particular group based on qualita</w:t>
      </w:r>
      <w:r>
        <w:rPr>
          <w:rFonts w:hAnsi="Times New Roman" w:cs="Times New Roman"/>
          <w:sz w:val="24"/>
          <w:szCs w:val="24"/>
        </w:rPr>
        <w:t>tive properties. Multinominal data can be defined as data that is case specific, with each independent variable having a single value for each case. These types of data contrast each other, with one having depended variables and the other having independed</w:t>
      </w:r>
      <w:r>
        <w:rPr>
          <w:rFonts w:hAnsi="Times New Roman" w:cs="Times New Roman"/>
          <w:sz w:val="24"/>
          <w:szCs w:val="24"/>
        </w:rPr>
        <w:t xml:space="preserve"> variables. These variables are important because they show the relationships between values. </w:t>
      </w:r>
    </w:p>
    <w:p w14:paraId="7BA18A38" w14:textId="77777777" w:rsidR="002732D7" w:rsidRDefault="00CF10E6">
      <w:pPr>
        <w:spacing w:line="480" w:lineRule="auto"/>
        <w:rPr>
          <w:rFonts w:hAnsi="Times New Roman" w:cs="Times New Roman"/>
          <w:sz w:val="24"/>
          <w:szCs w:val="24"/>
        </w:rPr>
      </w:pPr>
      <w:r>
        <w:rPr>
          <w:rFonts w:hAnsi="Times New Roman" w:cs="Times New Roman"/>
          <w:sz w:val="24"/>
          <w:szCs w:val="24"/>
        </w:rPr>
        <w:t>From the CSO statistical release, there was data on the comparison between men and women in terms of life satisfaction. In this survey, there are different categ</w:t>
      </w:r>
      <w:r>
        <w:rPr>
          <w:rFonts w:hAnsi="Times New Roman" w:cs="Times New Roman"/>
          <w:sz w:val="24"/>
          <w:szCs w:val="24"/>
        </w:rPr>
        <w:t>ories, that is, sex. There are two categories of data, whereby female show a higher satisfaction in life compared to men. Women had 36.7% overall life satisfaction while men had a 22.9% life satisfaction. Women were more concerned about the health of other</w:t>
      </w:r>
      <w:r>
        <w:rPr>
          <w:rFonts w:hAnsi="Times New Roman" w:cs="Times New Roman"/>
          <w:sz w:val="24"/>
          <w:szCs w:val="24"/>
        </w:rPr>
        <w:t>s compared to men, 27.6% and 20.1% respectively. There is statistical significance in the rate of life satisfaction between men and women where data shows that that women are more caring compared to men. Data also shows that men have a lower life satisfact</w:t>
      </w:r>
      <w:r>
        <w:rPr>
          <w:rFonts w:hAnsi="Times New Roman" w:cs="Times New Roman"/>
          <w:sz w:val="24"/>
          <w:szCs w:val="24"/>
        </w:rPr>
        <w:t xml:space="preserve">ion. </w:t>
      </w:r>
    </w:p>
    <w:p w14:paraId="7F407370" w14:textId="77777777" w:rsidR="002732D7" w:rsidRDefault="00CF10E6">
      <w:pPr>
        <w:spacing w:line="480" w:lineRule="auto"/>
        <w:rPr>
          <w:rFonts w:hAnsi="Times New Roman" w:cs="Times New Roman"/>
          <w:sz w:val="24"/>
          <w:szCs w:val="24"/>
        </w:rPr>
      </w:pPr>
      <w:r>
        <w:rPr>
          <w:rFonts w:hAnsi="Times New Roman" w:cs="Times New Roman"/>
          <w:sz w:val="24"/>
          <w:szCs w:val="24"/>
        </w:rPr>
        <w:lastRenderedPageBreak/>
        <w:t>From this survey, there is multinominal data, with variables like low satisfaction with personal relationships, low satisfaction with financial situation, and low overall life satisfaction. These variables show that men and women have different thing</w:t>
      </w:r>
      <w:r>
        <w:rPr>
          <w:rFonts w:hAnsi="Times New Roman" w:cs="Times New Roman"/>
          <w:sz w:val="24"/>
          <w:szCs w:val="24"/>
        </w:rPr>
        <w:t>s that they prefer. These variables are associated with the fact that men and women have different views on issues that affect them. In this data, it can be concluded that women have a higher percentage in terms of satisfaction. The conclusions show that t</w:t>
      </w:r>
      <w:r>
        <w:rPr>
          <w:rFonts w:hAnsi="Times New Roman" w:cs="Times New Roman"/>
          <w:sz w:val="24"/>
          <w:szCs w:val="24"/>
        </w:rPr>
        <w:t>here is a statistical significance in the data provided about social impacts of COVD-19 on men and women. The data shows that women were not satisfied with life in general as a result of the coronavirus pandemic. These results can be linked to the fact tha</w:t>
      </w:r>
      <w:r>
        <w:rPr>
          <w:rFonts w:hAnsi="Times New Roman" w:cs="Times New Roman"/>
          <w:sz w:val="24"/>
          <w:szCs w:val="24"/>
        </w:rPr>
        <w:t xml:space="preserve">t women play a critical role in the development of the society. </w:t>
      </w:r>
    </w:p>
    <w:p w14:paraId="66997B82" w14:textId="77777777" w:rsidR="002732D7" w:rsidRDefault="00CF10E6">
      <w:pPr>
        <w:spacing w:line="480" w:lineRule="auto"/>
        <w:rPr>
          <w:rFonts w:hAnsi="Times New Roman" w:cs="Times New Roman"/>
          <w:b/>
          <w:bCs/>
          <w:sz w:val="24"/>
          <w:szCs w:val="24"/>
        </w:rPr>
      </w:pPr>
      <w:r>
        <w:rPr>
          <w:rFonts w:hAnsi="Times New Roman" w:cs="Times New Roman"/>
          <w:b/>
          <w:bCs/>
          <w:sz w:val="24"/>
          <w:szCs w:val="24"/>
        </w:rPr>
        <w:t xml:space="preserve">Correlation and Causation </w:t>
      </w:r>
    </w:p>
    <w:p w14:paraId="292412C1" w14:textId="77777777" w:rsidR="002732D7" w:rsidRDefault="00CF10E6">
      <w:pPr>
        <w:spacing w:line="480" w:lineRule="auto"/>
        <w:rPr>
          <w:rFonts w:hAnsi="Times New Roman" w:cs="Times New Roman"/>
          <w:sz w:val="24"/>
          <w:szCs w:val="24"/>
        </w:rPr>
      </w:pPr>
      <w:r>
        <w:rPr>
          <w:rFonts w:hAnsi="Times New Roman" w:cs="Times New Roman"/>
          <w:sz w:val="24"/>
          <w:szCs w:val="24"/>
        </w:rPr>
        <w:t>Most of the researches today prefer to have different variables to ensure that issues are understood in a better way. Correlation is where there is a relationship b</w:t>
      </w:r>
      <w:r>
        <w:rPr>
          <w:rFonts w:hAnsi="Times New Roman" w:cs="Times New Roman"/>
          <w:sz w:val="24"/>
          <w:szCs w:val="24"/>
        </w:rPr>
        <w:t>etween the values of two variables. On the other hand, causation is whereby the occurrence of one event leads to another. Causation usually used in a developed experiment. Studies aimed at showing causation use different treatments on subjects and the outc</w:t>
      </w:r>
      <w:r>
        <w:rPr>
          <w:rFonts w:hAnsi="Times New Roman" w:cs="Times New Roman"/>
          <w:sz w:val="24"/>
          <w:szCs w:val="24"/>
        </w:rPr>
        <w:t>omes observed to determine the effects of the phenomenon being researched.</w:t>
      </w:r>
    </w:p>
    <w:p w14:paraId="67F0387F" w14:textId="77777777" w:rsidR="002732D7" w:rsidRDefault="00CF10E6">
      <w:pPr>
        <w:spacing w:line="480" w:lineRule="auto"/>
        <w:rPr>
          <w:rFonts w:hAnsi="Times New Roman" w:cs="Times New Roman"/>
          <w:sz w:val="24"/>
          <w:szCs w:val="24"/>
        </w:rPr>
      </w:pPr>
      <w:r>
        <w:rPr>
          <w:rFonts w:hAnsi="Times New Roman" w:cs="Times New Roman"/>
          <w:sz w:val="24"/>
          <w:szCs w:val="24"/>
        </w:rPr>
        <w:t>A research showing correlation can be understanding the relationship between an increase in COVD-19 cases and decreased economic growth. In such a research, the variables that are b</w:t>
      </w:r>
      <w:r>
        <w:rPr>
          <w:rFonts w:hAnsi="Times New Roman" w:cs="Times New Roman"/>
          <w:sz w:val="24"/>
          <w:szCs w:val="24"/>
        </w:rPr>
        <w:t>eing studied are COVD-19 and economic growth. There is a relationship between these variables; an increase in the number of COVD-19 cases leads to the introduction of strict rules, which restrict movement, trade, and movement of people. In this case, there</w:t>
      </w:r>
      <w:r>
        <w:rPr>
          <w:rFonts w:hAnsi="Times New Roman" w:cs="Times New Roman"/>
          <w:sz w:val="24"/>
          <w:szCs w:val="24"/>
        </w:rPr>
        <w:t xml:space="preserve"> is a direct relation </w:t>
      </w:r>
      <w:r>
        <w:rPr>
          <w:rFonts w:hAnsi="Times New Roman" w:cs="Times New Roman"/>
          <w:sz w:val="24"/>
          <w:szCs w:val="24"/>
        </w:rPr>
        <w:lastRenderedPageBreak/>
        <w:t>between the two variables. A study showing causation can be a health study where researchers want to find what causes an increase in COVD-19 cases in some counties compared to others. For example, in the case of Dublin, research can b</w:t>
      </w:r>
      <w:r>
        <w:rPr>
          <w:rFonts w:hAnsi="Times New Roman" w:cs="Times New Roman"/>
          <w:sz w:val="24"/>
          <w:szCs w:val="24"/>
        </w:rPr>
        <w:t>e conducted to determine why there is an increase in COVD-19 cases compared to Leitrim, which has thr lowest cases. In general, a correlation between two variables cannot lead to the conclusion that one variable causes a change in another. The relationship</w:t>
      </w:r>
      <w:r>
        <w:rPr>
          <w:rFonts w:hAnsi="Times New Roman" w:cs="Times New Roman"/>
          <w:sz w:val="24"/>
          <w:szCs w:val="24"/>
        </w:rPr>
        <w:t xml:space="preserve"> can be coincidence or caused by the presence of other factors. </w:t>
      </w:r>
    </w:p>
    <w:p w14:paraId="05B45DCC" w14:textId="77777777" w:rsidR="002732D7" w:rsidRDefault="00CF10E6">
      <w:pPr>
        <w:spacing w:line="480" w:lineRule="auto"/>
        <w:rPr>
          <w:rFonts w:hAnsi="Times New Roman" w:cs="Times New Roman"/>
          <w:sz w:val="24"/>
          <w:szCs w:val="24"/>
        </w:rPr>
      </w:pPr>
      <w:r>
        <w:rPr>
          <w:rFonts w:hAnsi="Times New Roman" w:cs="Times New Roman"/>
          <w:sz w:val="24"/>
          <w:szCs w:val="24"/>
        </w:rPr>
        <w:t>In a research by Mayo clinic, the research seeks to determine whether there is a relationship between digital surveillance using Google trends and accurate collection of data on COVD-19. The research shows that there is a strong correlation between the var</w:t>
      </w:r>
      <w:r>
        <w:rPr>
          <w:rFonts w:hAnsi="Times New Roman" w:cs="Times New Roman"/>
          <w:sz w:val="24"/>
          <w:szCs w:val="24"/>
        </w:rPr>
        <w:t>iables. Variables in this case were digital surveillance using Google trends and accurate data collection. In this case, it can be identified that there is a relationship between the use of surveillance and collection of data. It can be argued that using t</w:t>
      </w:r>
      <w:r>
        <w:rPr>
          <w:rFonts w:hAnsi="Times New Roman" w:cs="Times New Roman"/>
          <w:sz w:val="24"/>
          <w:szCs w:val="24"/>
        </w:rPr>
        <w:t xml:space="preserve">his technology can help gather data easily and quickly, which can help control the spread of the pandemic. </w:t>
      </w:r>
    </w:p>
    <w:p w14:paraId="737EFFAC" w14:textId="77777777" w:rsidR="002732D7" w:rsidRDefault="00CF10E6">
      <w:pPr>
        <w:spacing w:line="480" w:lineRule="auto"/>
        <w:rPr>
          <w:rFonts w:hAnsi="Times New Roman" w:cs="Times New Roman"/>
          <w:b/>
          <w:bCs/>
          <w:sz w:val="24"/>
          <w:szCs w:val="24"/>
        </w:rPr>
      </w:pPr>
      <w:r>
        <w:rPr>
          <w:rFonts w:hAnsi="Times New Roman" w:cs="Times New Roman"/>
          <w:b/>
          <w:bCs/>
          <w:sz w:val="24"/>
          <w:szCs w:val="24"/>
        </w:rPr>
        <w:t>Summary and Conclusion</w:t>
      </w:r>
    </w:p>
    <w:p w14:paraId="6A235BE6" w14:textId="77777777" w:rsidR="002732D7" w:rsidRDefault="00CF10E6">
      <w:pPr>
        <w:spacing w:line="480" w:lineRule="auto"/>
        <w:rPr>
          <w:rFonts w:hAnsi="Times New Roman" w:cs="Times New Roman"/>
          <w:sz w:val="24"/>
          <w:szCs w:val="24"/>
        </w:rPr>
      </w:pPr>
      <w:r>
        <w:rPr>
          <w:rFonts w:hAnsi="Times New Roman" w:cs="Times New Roman"/>
          <w:sz w:val="24"/>
          <w:szCs w:val="24"/>
        </w:rPr>
        <w:t>In conclusion, Ireland is among European countries with a high number of cases. The country has had over 140,000 cases and 23</w:t>
      </w:r>
      <w:r>
        <w:rPr>
          <w:rFonts w:hAnsi="Times New Roman" w:cs="Times New Roman"/>
          <w:sz w:val="24"/>
          <w:szCs w:val="24"/>
        </w:rPr>
        <w:t xml:space="preserve">00 deaths. Descriptive and statistical data shows that Ireland has had an increasing number of cases. In phase 1, the country had 15185 cases, which increased to </w:t>
      </w:r>
      <w:r>
        <w:rPr>
          <w:rFonts w:ascii="Times New Roman" w:hAnsi="Times New Roman" w:cs="Times New Roman"/>
          <w:sz w:val="24"/>
          <w:szCs w:val="24"/>
        </w:rPr>
        <w:t xml:space="preserve"> 25,766 </w:t>
      </w:r>
      <w:r>
        <w:rPr>
          <w:rFonts w:ascii="Times New Roman" w:hAnsi="Times New Roman" w:cs="Times New Roman"/>
          <w:sz w:val="24"/>
          <w:szCs w:val="24"/>
        </w:rPr>
        <w:t xml:space="preserve">in July and </w:t>
      </w:r>
      <w:r>
        <w:rPr>
          <w:rFonts w:ascii="Times New Roman" w:hAnsi="Times New Roman" w:cs="Times New Roman"/>
          <w:sz w:val="24"/>
          <w:szCs w:val="24"/>
        </w:rPr>
        <w:t xml:space="preserve"> </w:t>
      </w:r>
      <w:r>
        <w:rPr>
          <w:rFonts w:ascii="Times New Roman" w:hAnsi="Times New Roman" w:cs="Times New Roman"/>
          <w:sz w:val="24"/>
          <w:szCs w:val="24"/>
        </w:rPr>
        <w:t xml:space="preserve">49962 in October. These statistics show that the is an increasing trend. </w:t>
      </w:r>
      <w:r>
        <w:rPr>
          <w:rFonts w:ascii="Times New Roman" w:hAnsi="Times New Roman" w:cs="Times New Roman"/>
          <w:sz w:val="24"/>
          <w:szCs w:val="24"/>
        </w:rPr>
        <w:t xml:space="preserve">The 5-day moving average in July shows that the average increased to 1204.2 and a cumulative total of 13858. The cumulative and 5-day average have an increasing trend, </w:t>
      </w:r>
      <w:r>
        <w:rPr>
          <w:rFonts w:ascii="Times New Roman" w:hAnsi="Times New Roman" w:cs="Times New Roman"/>
          <w:sz w:val="24"/>
          <w:szCs w:val="24"/>
        </w:rPr>
        <w:lastRenderedPageBreak/>
        <w:t>which is an indication that the country is still in a high threat. The number of healthc</w:t>
      </w:r>
      <w:r>
        <w:rPr>
          <w:rFonts w:ascii="Times New Roman" w:hAnsi="Times New Roman" w:cs="Times New Roman"/>
          <w:sz w:val="24"/>
          <w:szCs w:val="24"/>
        </w:rPr>
        <w:t>are workers who has contracted the virus was highest between weeks 15 and 16. The probability of healthcare workers to get infected was high in ages 25 - 44 and 45 - 64</w:t>
      </w:r>
      <w:r>
        <w:rPr>
          <w:rFonts w:hAnsi="Times New Roman" w:cs="Times New Roman"/>
          <w:sz w:val="24"/>
          <w:szCs w:val="24"/>
        </w:rPr>
        <w:t>. By the 42nd week in October, the probability had decreased to 1.6%. The county with th</w:t>
      </w:r>
      <w:r>
        <w:rPr>
          <w:rFonts w:hAnsi="Times New Roman" w:cs="Times New Roman"/>
          <w:sz w:val="24"/>
          <w:szCs w:val="24"/>
        </w:rPr>
        <w:t>e highest number of cases was Dublin, with 48366 and Leitrim with the lowest number of cases, 491. Understanding these statistics is necessary because it can be used to design effective strategies to control the spread of the virus and protect the most vul</w:t>
      </w:r>
      <w:r>
        <w:rPr>
          <w:rFonts w:hAnsi="Times New Roman" w:cs="Times New Roman"/>
          <w:sz w:val="24"/>
          <w:szCs w:val="24"/>
        </w:rPr>
        <w:t xml:space="preserve">nerable populations. </w:t>
      </w:r>
    </w:p>
    <w:p w14:paraId="69896E7A" w14:textId="77777777" w:rsidR="002732D7" w:rsidRDefault="002732D7">
      <w:pPr>
        <w:spacing w:line="480" w:lineRule="auto"/>
        <w:rPr>
          <w:rFonts w:hAnsi="Times New Roman" w:cs="Times New Roman"/>
          <w:sz w:val="24"/>
          <w:szCs w:val="24"/>
        </w:rPr>
      </w:pPr>
    </w:p>
    <w:p w14:paraId="58603C0C" w14:textId="77777777" w:rsidR="002732D7" w:rsidRDefault="002732D7">
      <w:pPr>
        <w:spacing w:line="480" w:lineRule="auto"/>
        <w:rPr>
          <w:rFonts w:ascii="Times New Roman" w:hAnsi="Times New Roman" w:cs="Times New Roman"/>
          <w:sz w:val="24"/>
          <w:szCs w:val="24"/>
        </w:rPr>
      </w:pPr>
    </w:p>
    <w:p w14:paraId="7EEC909E" w14:textId="77777777" w:rsidR="002732D7" w:rsidRDefault="00CF10E6">
      <w:pPr>
        <w:spacing w:line="480" w:lineRule="auto"/>
        <w:jc w:val="center"/>
        <w:rPr>
          <w:rFonts w:ascii="Times New Roman" w:hAnsi="Times New Roman" w:cs="Times New Roman"/>
          <w:sz w:val="24"/>
          <w:szCs w:val="24"/>
        </w:rPr>
      </w:pPr>
      <w:r>
        <w:rPr>
          <w:rFonts w:ascii="Times New Roman" w:hAnsi="Times New Roman" w:cs="Times New Roman"/>
          <w:sz w:val="24"/>
          <w:szCs w:val="24"/>
        </w:rPr>
        <w:t>Works Cited</w:t>
      </w:r>
    </w:p>
    <w:p w14:paraId="5474EBB1" w14:textId="77777777" w:rsidR="002732D7" w:rsidRDefault="00CF10E6">
      <w:pPr>
        <w:spacing w:line="480" w:lineRule="auto"/>
        <w:rPr>
          <w:rFonts w:ascii="Times New Roman" w:hAnsi="Times New Roman" w:cs="Times New Roman"/>
          <w:sz w:val="24"/>
          <w:szCs w:val="24"/>
        </w:rPr>
      </w:pPr>
      <w:hyperlink r:id="rId8" w:history="1">
        <w:r>
          <w:rPr>
            <w:rStyle w:val="Hyperlink"/>
            <w:rFonts w:ascii="Times New Roman" w:hAnsi="Times New Roman" w:cs="Times New Roman"/>
            <w:sz w:val="24"/>
            <w:szCs w:val="24"/>
          </w:rPr>
          <w:t>https://www.hpsc.ie/az/respiratory/coronavirus/novelcoronavirus/casesinireland/epidemiologyofcovid-19inireland/</w:t>
        </w:r>
      </w:hyperlink>
      <w:r>
        <w:rPr>
          <w:rFonts w:ascii="Times New Roman" w:hAnsi="Times New Roman" w:cs="Times New Roman"/>
          <w:sz w:val="24"/>
          <w:szCs w:val="24"/>
        </w:rPr>
        <w:t xml:space="preserve"> </w:t>
      </w:r>
    </w:p>
    <w:p w14:paraId="2482CD87" w14:textId="77777777" w:rsidR="002732D7" w:rsidRDefault="00CF10E6">
      <w:pPr>
        <w:spacing w:line="480" w:lineRule="auto"/>
        <w:rPr>
          <w:rFonts w:hAnsi="Times New Roman" w:cs="Times New Roman"/>
          <w:sz w:val="24"/>
          <w:szCs w:val="24"/>
        </w:rPr>
      </w:pPr>
      <w:r>
        <w:rPr>
          <w:rFonts w:hAnsi="Times New Roman" w:cs="Times New Roman"/>
          <w:sz w:val="24"/>
          <w:szCs w:val="24"/>
        </w:rPr>
        <w:t>https://www.cso</w:t>
      </w:r>
      <w:r>
        <w:rPr>
          <w:rFonts w:hAnsi="Times New Roman" w:cs="Times New Roman"/>
          <w:sz w:val="24"/>
          <w:szCs w:val="24"/>
        </w:rPr>
        <w:t>.ie/en/releasesandpublications/er/sic19wm/socialimpactofcovid-19onwomenandmenapril2020/</w:t>
      </w:r>
    </w:p>
    <w:p w14:paraId="491380EB" w14:textId="77777777" w:rsidR="002732D7" w:rsidRDefault="00CF10E6">
      <w:pPr>
        <w:spacing w:line="480" w:lineRule="auto"/>
        <w:rPr>
          <w:rFonts w:ascii="Times New Roman" w:hAnsi="Times New Roman" w:cs="Times New Roman"/>
          <w:sz w:val="24"/>
          <w:szCs w:val="24"/>
        </w:rPr>
      </w:pPr>
      <w:r>
        <w:rPr>
          <w:rFonts w:hAnsi="Times New Roman" w:cs="Times New Roman"/>
          <w:sz w:val="24"/>
          <w:szCs w:val="24"/>
        </w:rPr>
        <w:t>https://www.mayoclinicproceedings.org/article/S0025-6196(20)30934-4/fulltext</w:t>
      </w:r>
    </w:p>
    <w:p w14:paraId="0C459F26" w14:textId="77777777" w:rsidR="002732D7" w:rsidRDefault="00CF10E6">
      <w:pPr>
        <w:spacing w:line="480" w:lineRule="auto"/>
        <w:rPr>
          <w:rFonts w:ascii="Times New Roman" w:hAnsi="Times New Roman" w:cs="Times New Roman"/>
          <w:sz w:val="24"/>
          <w:szCs w:val="24"/>
        </w:rPr>
      </w:pPr>
      <w:hyperlink r:id="rId9" w:history="1">
        <w:r>
          <w:rPr>
            <w:rStyle w:val="Hyperlink"/>
            <w:rFonts w:ascii="Times New Roman" w:hAnsi="Times New Roman" w:cs="Times New Roman"/>
            <w:sz w:val="24"/>
            <w:szCs w:val="24"/>
          </w:rPr>
          <w:t>https://www.hpsc.ie/a-z/respiratory/coronavirus/novelcoronavirus/surveillance/covid-1914-dayepidemiologyreports/</w:t>
        </w:r>
      </w:hyperlink>
      <w:r>
        <w:rPr>
          <w:rFonts w:ascii="Times New Roman" w:hAnsi="Times New Roman" w:cs="Times New Roman"/>
          <w:sz w:val="24"/>
          <w:szCs w:val="24"/>
        </w:rPr>
        <w:t xml:space="preserve"> </w:t>
      </w:r>
    </w:p>
    <w:p w14:paraId="65F73E3C" w14:textId="77777777" w:rsidR="002732D7" w:rsidRDefault="00CF10E6">
      <w:pPr>
        <w:spacing w:line="480" w:lineRule="auto"/>
        <w:rPr>
          <w:rFonts w:ascii="Times New Roman" w:hAnsi="Times New Roman" w:cs="Times New Roman"/>
          <w:sz w:val="24"/>
          <w:szCs w:val="24"/>
        </w:rPr>
      </w:pPr>
      <w:r>
        <w:rPr>
          <w:rFonts w:hAnsi="Times New Roman" w:cs="Times New Roman"/>
          <w:sz w:val="24"/>
          <w:szCs w:val="24"/>
        </w:rPr>
        <w:t>https://covid19-country-overviews.ecdc.europa.eu/</w:t>
      </w:r>
    </w:p>
    <w:p w14:paraId="591B5DEF"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https://covid-19.geohive.ie/pages/detailed-county-stat</w:t>
      </w:r>
      <w:r>
        <w:rPr>
          <w:rFonts w:ascii="Times New Roman" w:hAnsi="Times New Roman" w:cs="Times New Roman"/>
          <w:sz w:val="24"/>
          <w:szCs w:val="24"/>
        </w:rPr>
        <w:t>istics</w:t>
      </w:r>
    </w:p>
    <w:p w14:paraId="09EF875F" w14:textId="77777777" w:rsidR="002732D7" w:rsidRDefault="00CF10E6">
      <w:pPr>
        <w:spacing w:line="480" w:lineRule="auto"/>
        <w:rPr>
          <w:rFonts w:ascii="Times New Roman" w:hAnsi="Times New Roman" w:cs="Times New Roman"/>
          <w:sz w:val="24"/>
          <w:szCs w:val="24"/>
        </w:rPr>
      </w:pPr>
      <w:r>
        <w:rPr>
          <w:rFonts w:hAnsi="Times New Roman" w:cs="Times New Roman"/>
          <w:sz w:val="24"/>
          <w:szCs w:val="24"/>
        </w:rPr>
        <w:lastRenderedPageBreak/>
        <w:t>https://www.hpsc.ie/a-z/respiratory/coronavirus/novelcoronavirus/surveillance/covid-19casesinhealthcareworkers/</w:t>
      </w:r>
    </w:p>
    <w:p w14:paraId="4529106B"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 xml:space="preserve">https://www.itl.nist.gov/div898/handbook/eda/section3/eda361.htm </w:t>
      </w:r>
    </w:p>
    <w:p w14:paraId="5367A898"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Hansun, Seng. “A new approach of moving average method in time series a</w:t>
      </w:r>
      <w:r>
        <w:rPr>
          <w:rFonts w:ascii="Times New Roman" w:hAnsi="Times New Roman" w:cs="Times New Roman"/>
          <w:sz w:val="24"/>
          <w:szCs w:val="24"/>
        </w:rPr>
        <w:t xml:space="preserve">nalysis.” </w:t>
      </w:r>
      <w:r>
        <w:rPr>
          <w:rFonts w:ascii="Times New Roman" w:hAnsi="Times New Roman" w:cs="Times New Roman"/>
          <w:i/>
          <w:iCs/>
          <w:sz w:val="24"/>
          <w:szCs w:val="24"/>
        </w:rPr>
        <w:t xml:space="preserve">2013 Conference on new media studies (CoNMedia). </w:t>
      </w:r>
      <w:r>
        <w:rPr>
          <w:rFonts w:ascii="Times New Roman" w:hAnsi="Times New Roman" w:cs="Times New Roman"/>
          <w:sz w:val="24"/>
          <w:szCs w:val="24"/>
        </w:rPr>
        <w:t xml:space="preserve">IEEE, 2013. </w:t>
      </w:r>
    </w:p>
    <w:p w14:paraId="4ABBB33F" w14:textId="77777777" w:rsidR="002732D7" w:rsidRDefault="00CF10E6">
      <w:pPr>
        <w:spacing w:line="480" w:lineRule="auto"/>
        <w:rPr>
          <w:rFonts w:ascii="Times New Roman" w:hAnsi="Times New Roman" w:cs="Times New Roman"/>
          <w:sz w:val="24"/>
          <w:szCs w:val="24"/>
        </w:rPr>
      </w:pPr>
      <w:r>
        <w:rPr>
          <w:rFonts w:hAnsi="Times New Roman" w:cs="Times New Roman"/>
          <w:sz w:val="24"/>
          <w:szCs w:val="24"/>
        </w:rPr>
        <w:t xml:space="preserve">Horgan-Jones, Ireland outperforming almost all European countries in controlling spread of COVID-19. (2020). </w:t>
      </w:r>
      <w:r>
        <w:rPr>
          <w:rFonts w:hAnsi="Times New Roman" w:cs="Times New Roman"/>
          <w:sz w:val="24"/>
          <w:szCs w:val="24"/>
        </w:rPr>
        <w:t>https://www.irishtimes.com/news/ireland/irish-news/ireland-outperforming-almost-all-european-countries-in-controlling-spread-of-covid-19-1.4395375%3fmode=amp</w:t>
      </w:r>
    </w:p>
    <w:p w14:paraId="1DD86489" w14:textId="77777777" w:rsidR="002732D7" w:rsidRDefault="00CF10E6">
      <w:pPr>
        <w:spacing w:line="480" w:lineRule="auto"/>
        <w:rPr>
          <w:rFonts w:ascii="Times New Roman" w:hAnsi="Times New Roman" w:cs="Times New Roman"/>
          <w:sz w:val="24"/>
          <w:szCs w:val="24"/>
        </w:rPr>
      </w:pPr>
      <w:r>
        <w:rPr>
          <w:rFonts w:ascii="Times New Roman" w:hAnsi="Times New Roman" w:cs="Times New Roman"/>
          <w:sz w:val="24"/>
          <w:szCs w:val="24"/>
        </w:rPr>
        <w:t xml:space="preserve">Marsden, Peter V. </w:t>
      </w:r>
      <w:r>
        <w:rPr>
          <w:rFonts w:ascii="Times New Roman" w:hAnsi="Times New Roman" w:cs="Times New Roman"/>
          <w:i/>
          <w:iCs/>
          <w:sz w:val="24"/>
          <w:szCs w:val="24"/>
        </w:rPr>
        <w:t xml:space="preserve">Encyclopedia of Social Measurement. </w:t>
      </w:r>
      <w:r>
        <w:rPr>
          <w:rFonts w:ascii="Times New Roman" w:hAnsi="Times New Roman" w:cs="Times New Roman"/>
          <w:sz w:val="24"/>
          <w:szCs w:val="24"/>
        </w:rPr>
        <w:t xml:space="preserve">(2005). </w:t>
      </w:r>
    </w:p>
    <w:sectPr w:rsidR="002732D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847A18" w14:textId="77777777" w:rsidR="00CF10E6" w:rsidRDefault="00CF10E6">
      <w:pPr>
        <w:spacing w:after="0" w:line="240" w:lineRule="auto"/>
      </w:pPr>
      <w:r>
        <w:separator/>
      </w:r>
    </w:p>
  </w:endnote>
  <w:endnote w:type="continuationSeparator" w:id="0">
    <w:p w14:paraId="6D6B1020" w14:textId="77777777" w:rsidR="00CF10E6" w:rsidRDefault="00CF10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1203AB" w14:textId="77777777" w:rsidR="00CF10E6" w:rsidRDefault="00CF10E6">
      <w:pPr>
        <w:spacing w:after="0" w:line="240" w:lineRule="auto"/>
      </w:pPr>
      <w:r>
        <w:separator/>
      </w:r>
    </w:p>
  </w:footnote>
  <w:footnote w:type="continuationSeparator" w:id="0">
    <w:p w14:paraId="7F236097" w14:textId="77777777" w:rsidR="00CF10E6" w:rsidRDefault="00CF10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156AD4" w14:textId="77777777" w:rsidR="002732D7" w:rsidRDefault="00CF10E6">
    <w:pPr>
      <w:pStyle w:val="Header"/>
      <w:jc w:val="right"/>
    </w:pPr>
    <w:r>
      <w:t>Surname</w:t>
    </w:r>
    <w:r>
      <w:fldChar w:fldCharType="begin"/>
    </w:r>
    <w:r>
      <w:instrText xml:space="preserve"> PAGE   \* </w:instrText>
    </w:r>
    <w:r>
      <w:instrText xml:space="preserve">MERGEFORMAT </w:instrText>
    </w:r>
    <w:r>
      <w:fldChar w:fldCharType="separate"/>
    </w:r>
    <w:r>
      <w:rPr>
        <w:noProof/>
      </w:rPr>
      <w:t>2</w:t>
    </w:r>
    <w:r>
      <w:rPr>
        <w:noProof/>
      </w:rPr>
      <w:fldChar w:fldCharType="end"/>
    </w:r>
  </w:p>
  <w:p w14:paraId="01B03983" w14:textId="77777777" w:rsidR="002732D7" w:rsidRDefault="002732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2D7"/>
    <w:rsid w:val="00256E65"/>
    <w:rsid w:val="002732D7"/>
    <w:rsid w:val="0086258D"/>
    <w:rsid w:val="00904CC6"/>
    <w:rsid w:val="00A016C5"/>
    <w:rsid w:val="00CF10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E7F2F"/>
  <w15:docId w15:val="{1368EA70-952F-4487-ACE1-1AEE6F2C8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 w:type="character" w:customStyle="1" w:styleId="UnresolvedMention1">
    <w:name w:val="Unresolved Mention1"/>
    <w:basedOn w:val="DefaultParagraphFont"/>
    <w:uiPriority w:val="99"/>
    <w:rPr>
      <w:color w:val="605E5C"/>
      <w:shd w:val="clear" w:color="auto" w:fill="E1DFDD"/>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3">
    <w:name w:val="Medium Grid 3"/>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MediumGrid3-Accent1">
    <w:name w:val="Medium Grid 3 Accent 1"/>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MediumGrid3-Accent2">
    <w:name w:val="Medium Grid 3 Accent 2"/>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MediumGrid3-Accent3">
    <w:name w:val="Medium Grid 3 Accent 3"/>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MediumGrid3-Accent4">
    <w:name w:val="Medium Grid 3 Accent 4"/>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MediumGrid3-Accent5">
    <w:name w:val="Medium Grid 3 Accent 5"/>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MediumGrid3-Accent6">
    <w:name w:val="Medium Grid 3 Accent 6"/>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www.hpsc.ie/az/respiratory/coronavirus/novelcoronavirus/casesinireland/epidemiologyofcovid-19inireland/" TargetMode="Externa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hpsc.ie/a-z/respiratory/coronavirus/novelcoronavirus/surveillance/covid-1914-dayepidemiologyrepo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13</Pages>
  <Words>2509</Words>
  <Characters>14303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lazarus junior</dc:creator>
  <cp:lastModifiedBy>lazarus junior</cp:lastModifiedBy>
  <cp:revision>55</cp:revision>
  <dcterms:created xsi:type="dcterms:W3CDTF">2021-01-09T21:54:00Z</dcterms:created>
  <dcterms:modified xsi:type="dcterms:W3CDTF">2021-01-10T10:40:00Z</dcterms:modified>
</cp:coreProperties>
</file>